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EE" w:rsidRPr="007F29EE" w:rsidRDefault="007F29EE" w:rsidP="007F29EE">
      <w:pPr>
        <w:rPr>
          <w:rFonts w:ascii="Arial" w:hAnsi="Arial" w:cs="Arial"/>
          <w:b/>
          <w:sz w:val="24"/>
          <w:szCs w:val="24"/>
        </w:rPr>
      </w:pPr>
      <w:r w:rsidRPr="007F29EE">
        <w:rPr>
          <w:rFonts w:ascii="Arial" w:hAnsi="Arial" w:cs="Arial"/>
          <w:b/>
          <w:sz w:val="24"/>
          <w:szCs w:val="24"/>
        </w:rPr>
        <w:t>KADRY I PŁACE</w:t>
      </w:r>
    </w:p>
    <w:p w:rsidR="007F29EE" w:rsidRDefault="007F29EE" w:rsidP="007F29EE"/>
    <w:p w:rsidR="007F29EE" w:rsidRPr="007F29EE" w:rsidRDefault="007F29EE" w:rsidP="007F29EE">
      <w:pPr>
        <w:rPr>
          <w:rFonts w:ascii="Arial" w:hAnsi="Arial" w:cs="Arial"/>
          <w:sz w:val="24"/>
          <w:szCs w:val="24"/>
          <w:u w:val="single"/>
        </w:rPr>
      </w:pPr>
      <w:r w:rsidRPr="007F29EE">
        <w:rPr>
          <w:rFonts w:ascii="Arial" w:hAnsi="Arial" w:cs="Arial"/>
          <w:sz w:val="24"/>
          <w:szCs w:val="24"/>
          <w:u w:val="single"/>
        </w:rPr>
        <w:t xml:space="preserve">ZASADY PODLEGANIA UBEZPIECZENIOM SPOŁECZNYM I ZDROWOTNYM </w:t>
      </w:r>
    </w:p>
    <w:p w:rsidR="007F29EE" w:rsidRDefault="007F29EE" w:rsidP="007F29EE">
      <w:pPr>
        <w:jc w:val="both"/>
        <w:rPr>
          <w:rFonts w:ascii="Arial" w:hAnsi="Arial" w:cs="Arial"/>
          <w:sz w:val="24"/>
          <w:szCs w:val="24"/>
        </w:rPr>
      </w:pPr>
    </w:p>
    <w:p w:rsidR="007F29EE" w:rsidRPr="007F29EE" w:rsidRDefault="007F29EE" w:rsidP="007F29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29EE">
        <w:rPr>
          <w:rFonts w:ascii="Arial" w:hAnsi="Arial" w:cs="Arial"/>
          <w:sz w:val="24"/>
          <w:szCs w:val="24"/>
        </w:rPr>
        <w:t>Pracownik zawsze podlega obowiązkowo ubezpieczeniom społecznym (emerytalnemu, rentowym, chorobowemu i wypadkowemu) w okresie od powstania do ustania stosunku pracy (art. 6 ust. 1 pkt 1, art. 11 ust. 1, art. 12 ust. 1 i art. 13 pkt 1 ustawy systemowej). Od tej zasady nie ma żadnych wyjątków – obowiązek zgłoszenia do ww. ubezpieczeń pracownika powstaje zawsze, niezależnie od tego, jaki rodzaj umowy o pracę został zawarty, w jakim wymiarze czasu pracy, za jakim wynagrodzeniem i bez względu na inne tytuły do ubezpieczeń, które posiada pracownik.</w:t>
      </w:r>
    </w:p>
    <w:p w:rsidR="007F29EE" w:rsidRPr="007F29EE" w:rsidRDefault="007F29EE" w:rsidP="007F29EE">
      <w:pPr>
        <w:pStyle w:val="ramka-txt"/>
        <w:spacing w:before="0" w:after="0"/>
        <w:ind w:firstLine="708"/>
        <w:jc w:val="both"/>
        <w:rPr>
          <w:rFonts w:ascii="Arial" w:hAnsi="Arial" w:cs="Arial"/>
        </w:rPr>
      </w:pPr>
      <w:r w:rsidRPr="007F29EE">
        <w:rPr>
          <w:rFonts w:ascii="Arial" w:hAnsi="Arial" w:cs="Arial"/>
        </w:rPr>
        <w:t xml:space="preserve">Nie istnieją żadne okoliczności, które zwalniałyby pracodawcę z obowiązku zgłoszenia do ubezpieczeń osoby zatrudnionej w </w:t>
      </w:r>
      <w:r w:rsidRPr="007F29EE">
        <w:rPr>
          <w:rFonts w:ascii="Arial" w:hAnsi="Arial" w:cs="Arial"/>
          <w:bCs/>
        </w:rPr>
        <w:t>ramach</w:t>
      </w:r>
      <w:r w:rsidRPr="007F29EE">
        <w:rPr>
          <w:rFonts w:ascii="Arial" w:hAnsi="Arial" w:cs="Arial"/>
        </w:rPr>
        <w:t xml:space="preserve"> stosunku pracy.</w:t>
      </w:r>
    </w:p>
    <w:p w:rsidR="007F29EE" w:rsidRPr="007F29EE" w:rsidRDefault="007F29EE" w:rsidP="007F29EE">
      <w:pPr>
        <w:pStyle w:val="tresc"/>
        <w:ind w:firstLine="708"/>
        <w:jc w:val="both"/>
        <w:rPr>
          <w:rFonts w:ascii="Arial" w:hAnsi="Arial" w:cs="Arial"/>
        </w:rPr>
      </w:pPr>
      <w:r w:rsidRPr="007F29EE">
        <w:rPr>
          <w:rFonts w:ascii="Arial" w:hAnsi="Arial" w:cs="Arial"/>
        </w:rPr>
        <w:t>Z kolei zleceniobiorca, zasadniczo, jest obejmowany obowiązkowymi ubezpieczeniami społecznymi (emerytalnym, rentowymi i wypadkowym) w okresie od dnia oznaczonego w umowie jako dzień rozpoczęcia jej wykonywania do dnia rozwiązania lub wygaśnięcia tej umowy (art. 6 ust. 1 pkt 4, art. 12 ust. 1 i art. 13 pkt 2 ustawy systemowej). Do dobrowolnego ubezpieczenia chorobowego może przystąpić w każdej chwili, jeżeli przekaże płatnikowi składek-zleceniodawcy wniosek wyrażający wolę przystąpienia do tego ubezpieczenia (art. 11 ust. 2 ustawy systemowej). Ta generalna zasada nie będzie jednak miała zastosowania w licznych sytuacjach, kiedy umowa zlecenia nie stanowi tytułu do obowiązkowych ubezpieczeń emerytalnego i rentowych. Zdarza się tak np. w przypadku zbiegu tytułów do ubezpieczeń, m.in. gdy zleceniobiorca jest jednocześnie zatrudniony na podstawie umowy o pracę w pełnym wymiarze czasu pracy.</w:t>
      </w:r>
    </w:p>
    <w:p w:rsidR="007F29EE" w:rsidRPr="007F29EE" w:rsidRDefault="007F29EE" w:rsidP="007F29EE">
      <w:pPr>
        <w:pStyle w:val="tresc"/>
        <w:ind w:firstLine="708"/>
        <w:jc w:val="both"/>
        <w:rPr>
          <w:rFonts w:ascii="Arial" w:hAnsi="Arial" w:cs="Arial"/>
        </w:rPr>
      </w:pPr>
      <w:r w:rsidRPr="007F29EE">
        <w:rPr>
          <w:rFonts w:ascii="Arial" w:hAnsi="Arial" w:cs="Arial"/>
        </w:rPr>
        <w:t>Obydwie grupy ubezpieczonych (pracownicy i zleceniobiorcy), co do zasady, podlegają obowiązkowo ubezpieczeniu zdrowotnemu.</w:t>
      </w:r>
    </w:p>
    <w:p w:rsidR="007F29EE" w:rsidRPr="007F29EE" w:rsidRDefault="007F29EE" w:rsidP="007F29EE">
      <w:pPr>
        <w:pStyle w:val="tresc"/>
        <w:ind w:firstLine="708"/>
        <w:jc w:val="both"/>
        <w:rPr>
          <w:rFonts w:ascii="Arial" w:hAnsi="Arial" w:cs="Arial"/>
        </w:rPr>
      </w:pPr>
      <w:r w:rsidRPr="007F29EE">
        <w:rPr>
          <w:rFonts w:ascii="Arial" w:hAnsi="Arial" w:cs="Arial"/>
        </w:rPr>
        <w:t>Osoba, która jednocześnie spełnia warunki do objęcia jej obowiązkowo ubezpieczeniami emerytalnym i rentowymi z tytułu stosunku pracy oraz jako zleceniobiorca, jest obejmowana tymi ubezpieczeniami wyłącznie z tytułu stosunku pracy, jeśli w umowie o pracę ma zagwarantowane co najmniej minimalne wynagrodzenie, a w razie braku tej gwarancji (pracownicy zatrudnieni w niepełnym wymiarze czasu pracy) – jeśli podstawa wymiaru składek z tytułu stosunku pracy w przeliczeniu na okres miesiąca wynosi co najmniej minimalne wynagrodzenie (art. 9 ust. 1 i 1a ustawy systemowej).</w:t>
      </w:r>
    </w:p>
    <w:p w:rsidR="007F29EE" w:rsidRPr="007F29EE" w:rsidRDefault="007F29EE" w:rsidP="007F29EE">
      <w:pPr>
        <w:pStyle w:val="tresc"/>
        <w:spacing w:before="0" w:after="0"/>
        <w:ind w:firstLine="708"/>
        <w:jc w:val="both"/>
        <w:rPr>
          <w:rFonts w:ascii="Arial" w:hAnsi="Arial" w:cs="Arial"/>
        </w:rPr>
      </w:pPr>
      <w:r w:rsidRPr="007F29EE">
        <w:rPr>
          <w:rFonts w:ascii="Arial" w:hAnsi="Arial" w:cs="Arial"/>
        </w:rPr>
        <w:t xml:space="preserve">W celu prawidłowego ustalenia zasad podlegania ubezpieczeniom społecznym przez zleceniobiorcę zatrudnionego jednocześnie w </w:t>
      </w:r>
      <w:r w:rsidRPr="007F29EE">
        <w:rPr>
          <w:rFonts w:ascii="Arial" w:hAnsi="Arial" w:cs="Arial"/>
          <w:bCs/>
        </w:rPr>
        <w:t>ramach</w:t>
      </w:r>
      <w:r w:rsidRPr="007F29EE">
        <w:rPr>
          <w:rFonts w:ascii="Arial" w:hAnsi="Arial" w:cs="Arial"/>
        </w:rPr>
        <w:t xml:space="preserve"> stosunku pracy, kluczowe jest ustalenie, czy zlecenie wykonuje na rzecz innego płatnika czy na rzecz własnego pracodawcy.</w:t>
      </w:r>
    </w:p>
    <w:p w:rsidR="007F29EE" w:rsidRDefault="007F29EE"/>
    <w:p w:rsidR="007F29EE" w:rsidRPr="007F29EE" w:rsidRDefault="007F29EE" w:rsidP="007F29EE">
      <w:pPr>
        <w:spacing w:line="256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7F29EE">
        <w:rPr>
          <w:rFonts w:ascii="Arial" w:hAnsi="Arial" w:cs="Arial"/>
          <w:sz w:val="24"/>
          <w:szCs w:val="24"/>
          <w:u w:val="single"/>
        </w:rPr>
        <w:lastRenderedPageBreak/>
        <w:t xml:space="preserve">PRZYCZYNY WYREJESTROWANIA PRACOWNIKA Z SYSTEMU UBEZPIECZEŃ </w:t>
      </w:r>
    </w:p>
    <w:p w:rsidR="007F29EE" w:rsidRDefault="007F29EE" w:rsidP="007F29EE">
      <w:pPr>
        <w:jc w:val="both"/>
        <w:rPr>
          <w:rFonts w:ascii="Arial" w:hAnsi="Arial" w:cs="Arial"/>
          <w:sz w:val="24"/>
          <w:szCs w:val="24"/>
          <w:u w:val="single"/>
        </w:rPr>
      </w:pPr>
      <w:r w:rsidRPr="007F29EE">
        <w:rPr>
          <w:rFonts w:ascii="Arial" w:hAnsi="Arial" w:cs="Arial"/>
          <w:sz w:val="24"/>
          <w:szCs w:val="24"/>
          <w:u w:val="single"/>
        </w:rPr>
        <w:t>SPOŁECZNYCH I ZDROWOTNYCH</w:t>
      </w:r>
    </w:p>
    <w:p w:rsidR="007F29EE" w:rsidRDefault="007F29EE" w:rsidP="007F29E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F29EE" w:rsidRPr="007F29EE" w:rsidRDefault="007F29EE" w:rsidP="007F29EE">
      <w:pPr>
        <w:jc w:val="both"/>
        <w:rPr>
          <w:rFonts w:ascii="Arial" w:hAnsi="Arial" w:cs="Arial"/>
          <w:sz w:val="24"/>
          <w:szCs w:val="24"/>
        </w:rPr>
      </w:pPr>
      <w:r w:rsidRPr="007F29EE">
        <w:rPr>
          <w:rFonts w:ascii="Arial" w:hAnsi="Arial" w:cs="Arial"/>
          <w:sz w:val="24"/>
          <w:szCs w:val="24"/>
        </w:rPr>
        <w:t>Pracownik podlega obowiązkowo ubezpieczeniu zdrowotnemu z tytułu pozostawania w stosunku pracy. W przypadku rozwiązania lub wygaśnięcia ich stosunku pracy, w terminie 7 dni, należy wyrejestrować pracownika z ubezpieczenia zdrowotnego.</w:t>
      </w:r>
    </w:p>
    <w:p w:rsidR="007F29EE" w:rsidRPr="007F29EE" w:rsidRDefault="007F29EE" w:rsidP="007F29EE">
      <w:pPr>
        <w:jc w:val="both"/>
        <w:rPr>
          <w:rFonts w:ascii="Arial" w:hAnsi="Arial" w:cs="Arial"/>
          <w:sz w:val="24"/>
          <w:szCs w:val="24"/>
        </w:rPr>
      </w:pPr>
    </w:p>
    <w:p w:rsidR="007F29EE" w:rsidRPr="007F29EE" w:rsidRDefault="007F29EE" w:rsidP="007F29EE">
      <w:pPr>
        <w:jc w:val="both"/>
        <w:rPr>
          <w:rFonts w:ascii="Arial" w:hAnsi="Arial" w:cs="Arial"/>
          <w:sz w:val="24"/>
          <w:szCs w:val="24"/>
        </w:rPr>
      </w:pPr>
      <w:r w:rsidRPr="007F29EE">
        <w:rPr>
          <w:rFonts w:ascii="Arial" w:hAnsi="Arial" w:cs="Arial"/>
          <w:sz w:val="24"/>
          <w:szCs w:val="24"/>
        </w:rPr>
        <w:t>W celu wyrejestrowania z ubezpieczenia zdrowotnego należy wypełnić specjalny druk ZUS ZWUA. Druk ten jest dostępny w formie elektronicznej w aktualnej wersji programu „Płatnik”. Formularz w formie papierowej znajduje się w każdej jednostce organizacyjne Zakładu Ubezpieczeń Społecznych.</w:t>
      </w:r>
    </w:p>
    <w:p w:rsidR="007F29EE" w:rsidRPr="007F29EE" w:rsidRDefault="007F29EE" w:rsidP="007F29EE">
      <w:pPr>
        <w:jc w:val="both"/>
        <w:rPr>
          <w:rFonts w:ascii="Arial" w:hAnsi="Arial" w:cs="Arial"/>
          <w:sz w:val="24"/>
          <w:szCs w:val="24"/>
        </w:rPr>
      </w:pPr>
    </w:p>
    <w:p w:rsidR="007F29EE" w:rsidRPr="007F29EE" w:rsidRDefault="007F29EE" w:rsidP="007F29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9EE">
        <w:rPr>
          <w:rFonts w:ascii="Arial" w:eastAsia="Times New Roman" w:hAnsi="Arial" w:cs="Arial"/>
          <w:sz w:val="24"/>
          <w:szCs w:val="24"/>
          <w:lang w:eastAsia="pl-PL"/>
        </w:rPr>
        <w:t>Formularz ZUS ZWUA zawiera następujące części:</w:t>
      </w:r>
    </w:p>
    <w:p w:rsidR="007F29EE" w:rsidRDefault="007F29EE" w:rsidP="007F29E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9EE">
        <w:rPr>
          <w:rFonts w:ascii="Arial" w:eastAsia="Times New Roman" w:hAnsi="Arial" w:cs="Arial"/>
          <w:bCs/>
          <w:sz w:val="24"/>
          <w:szCs w:val="24"/>
          <w:lang w:eastAsia="pl-PL"/>
        </w:rPr>
        <w:t>Dane organizacyjne</w:t>
      </w:r>
      <w:r w:rsidRPr="007F29EE">
        <w:rPr>
          <w:rFonts w:ascii="Arial" w:eastAsia="Times New Roman" w:hAnsi="Arial" w:cs="Arial"/>
          <w:sz w:val="24"/>
          <w:szCs w:val="24"/>
          <w:lang w:eastAsia="pl-PL"/>
        </w:rPr>
        <w:t xml:space="preserve"> -  ta część składa się z 4 pól, z których składający wyrejestrowywanie wypełnia tylko pola 01 lub 02. Pole 01 zaznacza się w razie wyrejestrowywania z ubezpieczenia zdrowotnego, a pole 02, w przypadku zgłoszenia korekty do wcześniej złożonej deklaracji o wyrejestrowani z ubezpieczenia zdrowotnego. Pól 03 i 04 nie wypełnia się.</w:t>
      </w:r>
    </w:p>
    <w:p w:rsidR="007F29EE" w:rsidRDefault="007F29EE" w:rsidP="007F29E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9EE">
        <w:rPr>
          <w:rFonts w:ascii="Arial" w:eastAsia="Times New Roman" w:hAnsi="Arial" w:cs="Arial"/>
          <w:bCs/>
          <w:sz w:val="24"/>
          <w:szCs w:val="24"/>
          <w:lang w:eastAsia="pl-PL"/>
        </w:rPr>
        <w:t>Dane identyfikacyjne płatnika składek</w:t>
      </w:r>
      <w:r w:rsidRPr="007F29EE">
        <w:rPr>
          <w:rFonts w:ascii="Arial" w:eastAsia="Times New Roman" w:hAnsi="Arial" w:cs="Arial"/>
          <w:sz w:val="24"/>
          <w:szCs w:val="24"/>
          <w:lang w:eastAsia="pl-PL"/>
        </w:rPr>
        <w:t xml:space="preserve"> – ta część deklaracji składa się z 9 pól. W polach 01 i 02 wpisuje się numer NIP i numer REGON. Pola 03-05 wypełnia się w przypadku, kiedy płatnikiem składek jest osoba fizyczna, w tych polach podaje się numer PESEL, a w przypadku braku PESEL-u, numer i serię dowodu osobistego lub paszportu. W polu 06 wpisuje się nazwę skróconą płatnika składek. Pola 07-09 wypełnia się także, tylko w przypadku składania wyrejestrowania przez płatnika składek, który jest osobą fizyczną. W tych polach podaje się: nazwisko, pierwsze imię oraz datę urodzenia płatnika.</w:t>
      </w:r>
    </w:p>
    <w:p w:rsidR="007F29EE" w:rsidRDefault="007F29EE" w:rsidP="007F29E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9EE">
        <w:rPr>
          <w:rFonts w:ascii="Arial" w:eastAsia="Times New Roman" w:hAnsi="Arial" w:cs="Arial"/>
          <w:bCs/>
          <w:sz w:val="24"/>
          <w:szCs w:val="24"/>
          <w:lang w:eastAsia="pl-PL"/>
        </w:rPr>
        <w:t>Dane identyfikacyjne osoby wyrejestrowywanej z ubezpieczeń</w:t>
      </w:r>
      <w:r w:rsidRPr="007F29EE">
        <w:rPr>
          <w:rFonts w:ascii="Arial" w:eastAsia="Times New Roman" w:hAnsi="Arial" w:cs="Arial"/>
          <w:sz w:val="24"/>
          <w:szCs w:val="24"/>
          <w:lang w:eastAsia="pl-PL"/>
        </w:rPr>
        <w:t xml:space="preserve"> -  w tej części w polach 01-07 podaje się informacje o osobie wyrejestrowywanej z ubezpieczenia zdrowotnego. W polu 01 wpisuje się numer PESEL. W razie, gdy osoba nie posiada numeru PESEL, w polach 03 i 04 wpisuje się numer i serię dowodu osobistego lub paszportu. Pole 02 pozostawia się niewypełnione. W polu 05 wpisuje się nazwisko osoby wyrejestrowywanej z ubezpieczenia, w polu 06 jego pierwsze imię, a w polu 07 datę urodzenia.</w:t>
      </w:r>
    </w:p>
    <w:p w:rsidR="007F29EE" w:rsidRDefault="007F29EE" w:rsidP="007F29E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9EE">
        <w:rPr>
          <w:rFonts w:ascii="Arial" w:eastAsia="Times New Roman" w:hAnsi="Arial" w:cs="Arial"/>
          <w:bCs/>
          <w:sz w:val="24"/>
          <w:szCs w:val="24"/>
          <w:lang w:eastAsia="pl-PL"/>
        </w:rPr>
        <w:t>Wyrejestrowanie z ubezpieczeń</w:t>
      </w:r>
      <w:r w:rsidRPr="007F29EE">
        <w:rPr>
          <w:rFonts w:ascii="Arial" w:eastAsia="Times New Roman" w:hAnsi="Arial" w:cs="Arial"/>
          <w:sz w:val="24"/>
          <w:szCs w:val="24"/>
          <w:lang w:eastAsia="pl-PL"/>
        </w:rPr>
        <w:t xml:space="preserve"> – ta część składa się z 3 pól. W polu 01 wpisuje się  sześcioznakowy kod tytułu ubezpieczenia, który został wykazany w zgłoszeniu do ubezpieczenia zdrowotnego. W polu 02 podaje się datę wyrejestrowania ubezpieczonego z danym kodem tytułu ubezpieczenia. Natomiast w polu 03 podaje się trzyznakowy kod przyczyny wyrejestrowania.</w:t>
      </w:r>
    </w:p>
    <w:p w:rsidR="007F29EE" w:rsidRDefault="007F29EE" w:rsidP="007F29E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9EE">
        <w:rPr>
          <w:rFonts w:ascii="Arial" w:eastAsia="Times New Roman" w:hAnsi="Arial" w:cs="Arial"/>
          <w:bCs/>
          <w:sz w:val="24"/>
          <w:szCs w:val="24"/>
          <w:lang w:eastAsia="pl-PL"/>
        </w:rPr>
        <w:t>Oświadczenie płatnika składek</w:t>
      </w:r>
      <w:r w:rsidRPr="007F29EE">
        <w:rPr>
          <w:rFonts w:ascii="Arial" w:eastAsia="Times New Roman" w:hAnsi="Arial" w:cs="Arial"/>
          <w:sz w:val="24"/>
          <w:szCs w:val="24"/>
          <w:lang w:eastAsia="pl-PL"/>
        </w:rPr>
        <w:t xml:space="preserve"> – w tej części w polach 01-03 podaje się </w:t>
      </w:r>
      <w:r w:rsidRPr="007F29EE">
        <w:rPr>
          <w:rFonts w:ascii="Arial" w:eastAsia="Times New Roman" w:hAnsi="Arial" w:cs="Arial"/>
          <w:bCs/>
          <w:sz w:val="24"/>
          <w:szCs w:val="24"/>
          <w:lang w:eastAsia="pl-PL"/>
        </w:rPr>
        <w:t>dane</w:t>
      </w:r>
      <w:r w:rsidRPr="007F29EE">
        <w:rPr>
          <w:rFonts w:ascii="Arial" w:eastAsia="Times New Roman" w:hAnsi="Arial" w:cs="Arial"/>
          <w:sz w:val="24"/>
          <w:szCs w:val="24"/>
          <w:lang w:eastAsia="pl-PL"/>
        </w:rPr>
        <w:t xml:space="preserve"> płatnika składek, W polu 02 dla potwierdzenia wiarygodności danych płatnik składek lub osoba przez niego upoważniona składa swój podpis, zaś w polu 03 płatnik przystawia swoją pieczątkę. W polu 01 podaje się datę wypełnienia formularzu;</w:t>
      </w:r>
    </w:p>
    <w:p w:rsidR="007F29EE" w:rsidRDefault="007F29EE" w:rsidP="007F29E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9E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Oświadczenie osoby wyrejestrowywanej z ubezpieczeń</w:t>
      </w:r>
      <w:r w:rsidRPr="007F29EE">
        <w:rPr>
          <w:rFonts w:ascii="Arial" w:eastAsia="Times New Roman" w:hAnsi="Arial" w:cs="Arial"/>
          <w:sz w:val="24"/>
          <w:szCs w:val="24"/>
          <w:lang w:eastAsia="pl-PL"/>
        </w:rPr>
        <w:t xml:space="preserve"> – ta część składa się tylko z jednego pola, w którym osoba wyrejestrowywana z ubezpieczenia zdrowotnego własnoręcznym podpisem potwierdza zgodność danych zawartych w formularzu ze stanem faktycznym.</w:t>
      </w:r>
    </w:p>
    <w:p w:rsidR="007F29EE" w:rsidRPr="007F29EE" w:rsidRDefault="007F29EE" w:rsidP="007F29E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9EE">
        <w:rPr>
          <w:rFonts w:ascii="Arial" w:eastAsia="Times New Roman" w:hAnsi="Arial" w:cs="Arial"/>
          <w:bCs/>
          <w:sz w:val="24"/>
          <w:szCs w:val="24"/>
          <w:lang w:eastAsia="pl-PL"/>
        </w:rPr>
        <w:t>Adnotacje ZUS</w:t>
      </w:r>
      <w:r w:rsidRPr="007F29E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F29EE" w:rsidRDefault="007F29EE" w:rsidP="007F29E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F29EE" w:rsidRDefault="007F29EE" w:rsidP="007F29E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F29EE" w:rsidRDefault="007F29EE" w:rsidP="007F29EE">
      <w:pPr>
        <w:jc w:val="both"/>
        <w:rPr>
          <w:rFonts w:ascii="Arial" w:hAnsi="Arial" w:cs="Arial"/>
          <w:sz w:val="24"/>
          <w:szCs w:val="24"/>
          <w:u w:val="single"/>
        </w:rPr>
      </w:pPr>
      <w:r w:rsidRPr="007F29EE">
        <w:rPr>
          <w:rFonts w:ascii="Arial" w:hAnsi="Arial" w:cs="Arial"/>
          <w:sz w:val="24"/>
          <w:szCs w:val="24"/>
          <w:u w:val="single"/>
        </w:rPr>
        <w:t>METODY I ETAPY PROCESU REKRUTACJI PRACOWNIKÓW</w:t>
      </w:r>
    </w:p>
    <w:p w:rsidR="007F29EE" w:rsidRDefault="007F29EE" w:rsidP="007F29E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F29EE" w:rsidRPr="007F29EE" w:rsidRDefault="007F29EE" w:rsidP="00DF038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bCs/>
          <w:sz w:val="24"/>
          <w:szCs w:val="24"/>
          <w:lang w:eastAsia="pl-PL"/>
        </w:rPr>
        <w:t>Trzy najczęstsze schematy przebiegu procesu rekrutacji</w:t>
      </w:r>
    </w:p>
    <w:p w:rsidR="007F29EE" w:rsidRPr="00DF038A" w:rsidRDefault="007F29EE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9EE">
        <w:rPr>
          <w:rFonts w:ascii="Arial" w:eastAsia="Times New Roman" w:hAnsi="Arial" w:cs="Arial"/>
          <w:sz w:val="24"/>
          <w:szCs w:val="24"/>
          <w:lang w:eastAsia="pl-PL"/>
        </w:rPr>
        <w:br/>
        <w:t>Ilość etapów zawsze uzależniona jest od poziomu stanowiska – bez względu czy prowadzona jest przez firmę rekrutacyjną, czy bezpośrednio przez potencjalnego pracodawcę</w:t>
      </w:r>
      <w:r w:rsidR="00DF03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F038A" w:rsidRDefault="007F29EE" w:rsidP="00DF038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bCs/>
          <w:sz w:val="24"/>
          <w:szCs w:val="24"/>
          <w:lang w:eastAsia="pl-PL"/>
        </w:rPr>
        <w:t>Stanowiska managerskie</w:t>
      </w:r>
    </w:p>
    <w:p w:rsidR="007F29EE" w:rsidRPr="007F29EE" w:rsidRDefault="007F29EE" w:rsidP="00DF038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F29EE">
        <w:rPr>
          <w:rFonts w:ascii="Arial" w:eastAsia="Times New Roman" w:hAnsi="Arial" w:cs="Arial"/>
          <w:sz w:val="24"/>
          <w:szCs w:val="24"/>
          <w:lang w:eastAsia="pl-PL"/>
        </w:rPr>
        <w:t xml:space="preserve">Proces rekrutacyjny jest najbardziej rozbudowany, bo wymaga analizy kompetencji kandydata na wielu płaszczyznach. Bardzo często stosuje się zaawansowane metody weryfikacji. </w:t>
      </w:r>
      <w:r w:rsidRPr="007F29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29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F03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Menedżer Sprzedaży/Finansowy/Logistyki zawsze odbywa minimum 2-3 etapy, w tym przypadku często dochodzą testy kompetencyjne</w:t>
      </w:r>
      <w:r w:rsidR="00DF03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</w:t>
      </w:r>
    </w:p>
    <w:p w:rsidR="007F29EE" w:rsidRPr="007F29EE" w:rsidRDefault="007F29EE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9E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F29EE" w:rsidRPr="007F29EE" w:rsidRDefault="007F29EE" w:rsidP="00DF038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bCs/>
          <w:sz w:val="24"/>
          <w:szCs w:val="24"/>
          <w:lang w:eastAsia="pl-PL"/>
        </w:rPr>
        <w:t>Stanowiska specjalistyczne</w:t>
      </w:r>
    </w:p>
    <w:p w:rsidR="007F29EE" w:rsidRPr="007F29EE" w:rsidRDefault="007F29EE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9EE">
        <w:rPr>
          <w:rFonts w:ascii="Arial" w:eastAsia="Times New Roman" w:hAnsi="Arial" w:cs="Arial"/>
          <w:sz w:val="24"/>
          <w:szCs w:val="24"/>
          <w:lang w:eastAsia="pl-PL"/>
        </w:rPr>
        <w:br/>
        <w:t>W tym przypadku najczęściej stosuje się dwa etapy, choć przed pierwszym spotkaniem często prowadzona jest jeszcze analiza dotychczasowych osiągnięć kandydata (np. ocena jakości kodu w przypadku programisty czy projektów w przypadku grafika) lub przeprowadzane testy kompetencji bądź znajomości języka.   </w:t>
      </w:r>
    </w:p>
    <w:p w:rsidR="007F29EE" w:rsidRPr="007F29EE" w:rsidRDefault="007F29EE" w:rsidP="00DF038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F29EE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</w:p>
    <w:p w:rsidR="007F29EE" w:rsidRPr="007F29EE" w:rsidRDefault="007F29EE" w:rsidP="00DF038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bCs/>
          <w:sz w:val="24"/>
          <w:szCs w:val="24"/>
          <w:lang w:eastAsia="pl-PL"/>
        </w:rPr>
        <w:t>Stanowiska operacyjne</w:t>
      </w:r>
    </w:p>
    <w:p w:rsidR="00DF038A" w:rsidRDefault="007F29EE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9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F03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Proces rekrutacji na stanowiska typu </w:t>
      </w:r>
      <w:proofErr w:type="spellStart"/>
      <w:r w:rsidRPr="00DF03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back</w:t>
      </w:r>
      <w:proofErr w:type="spellEnd"/>
      <w:r w:rsidRPr="00DF03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proofErr w:type="spellStart"/>
      <w:r w:rsidRPr="00DF03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office</w:t>
      </w:r>
      <w:proofErr w:type="spellEnd"/>
      <w:r w:rsidRPr="00DF03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, front </w:t>
      </w:r>
      <w:proofErr w:type="spellStart"/>
      <w:r w:rsidR="00DF03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office</w:t>
      </w:r>
      <w:proofErr w:type="spellEnd"/>
      <w:r w:rsidR="00DF03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, obszar produkcji kończy </w:t>
      </w:r>
      <w:r w:rsidRPr="00DF03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się najczęściej jednym etapem.</w:t>
      </w:r>
      <w:r w:rsidRPr="007F29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F29EE" w:rsidRPr="007F29EE" w:rsidRDefault="007F29EE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7F29E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Przy stanowiskach wymagających znajomości języków obcych, częścią rekrutacji będzie też test jego znajomości.  Bywa, że prowadzone są testy praktyczne lub testy </w:t>
      </w:r>
      <w:r w:rsidRPr="007F29E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wiedzy, jeśli na danym stanowisku kandydat musi mieć odpowiednią wiedzę techniczną, bądź umiejętności praktyczne.  </w:t>
      </w:r>
    </w:p>
    <w:p w:rsidR="007F29EE" w:rsidRPr="007F29EE" w:rsidRDefault="007F29EE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9E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F29EE" w:rsidRPr="007F29EE" w:rsidRDefault="007F29EE" w:rsidP="00DF038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bCs/>
          <w:sz w:val="24"/>
          <w:szCs w:val="24"/>
          <w:lang w:eastAsia="pl-PL"/>
        </w:rPr>
        <w:t>Jeden etap – wiele metod</w:t>
      </w:r>
    </w:p>
    <w:p w:rsidR="007F29EE" w:rsidRPr="007F29EE" w:rsidRDefault="007F29EE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9E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Oczywiście, w ramach jednego etapu rekrutacji wprowadzonych może być kilka metod oceny – np. w czasie spotkania rekrutacyjnego kandydat rozwiązuje również zadanie problemowe oraz test wiedzy językowej. Dopiero analiza wszystkich zmiennych zbadanych w czasie danego etapu pozwala podjąć decyzje o kontynuowaniu rekrutacji bądź odrzuceniu kandydatury. 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bCs/>
          <w:sz w:val="24"/>
          <w:szCs w:val="24"/>
          <w:lang w:eastAsia="pl-PL"/>
        </w:rPr>
        <w:t>Etapy rekrutacji – krok po kroku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Dwa etapy, w których kandydat bierze czynny udział, to wcale nie jest całość rekrutacji. Jak podkreśla Paweł </w:t>
      </w:r>
      <w:proofErr w:type="spellStart"/>
      <w:r w:rsidRPr="00DF038A">
        <w:rPr>
          <w:rFonts w:ascii="Arial" w:eastAsia="Times New Roman" w:hAnsi="Arial" w:cs="Arial"/>
          <w:sz w:val="24"/>
          <w:szCs w:val="24"/>
          <w:lang w:eastAsia="pl-PL"/>
        </w:rPr>
        <w:t>Posachowicz</w:t>
      </w:r>
      <w:proofErr w:type="spellEnd"/>
      <w:r w:rsidRPr="00DF038A">
        <w:rPr>
          <w:rFonts w:ascii="Arial" w:eastAsia="Times New Roman" w:hAnsi="Arial" w:cs="Arial"/>
          <w:sz w:val="24"/>
          <w:szCs w:val="24"/>
          <w:lang w:eastAsia="pl-PL"/>
        </w:rPr>
        <w:t xml:space="preserve">, inną kwestią jest „kuchnia </w:t>
      </w:r>
      <w:proofErr w:type="spellStart"/>
      <w:r w:rsidRPr="00DF038A">
        <w:rPr>
          <w:rFonts w:ascii="Arial" w:eastAsia="Times New Roman" w:hAnsi="Arial" w:cs="Arial"/>
          <w:sz w:val="24"/>
          <w:szCs w:val="24"/>
          <w:lang w:eastAsia="pl-PL"/>
        </w:rPr>
        <w:t>rekrutera</w:t>
      </w:r>
      <w:proofErr w:type="spellEnd"/>
      <w:r w:rsidRPr="00DF038A">
        <w:rPr>
          <w:rFonts w:ascii="Arial" w:eastAsia="Times New Roman" w:hAnsi="Arial" w:cs="Arial"/>
          <w:sz w:val="24"/>
          <w:szCs w:val="24"/>
          <w:lang w:eastAsia="pl-PL"/>
        </w:rPr>
        <w:t xml:space="preserve">”: </w:t>
      </w:r>
      <w:r w:rsidRPr="00DF03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 tym przypadku proces podzielony może być nawet na 10 etapów (np. selekcja CV, weryfikacja telefoniczna, spotkanie bezpośrednie, raport rekomendacyjny, spotkanie u klienta, ofertowanie, przyjęcie do pracy etc.). Kandydat widzi tylko mały wycinek jego pracy.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bCs/>
          <w:sz w:val="24"/>
          <w:szCs w:val="24"/>
          <w:lang w:eastAsia="pl-PL"/>
        </w:rPr>
        <w:t>Krok 1 – Poszukiwanie kandydatów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Dla </w:t>
      </w:r>
      <w:proofErr w:type="spellStart"/>
      <w:r w:rsidRPr="00DF038A">
        <w:rPr>
          <w:rFonts w:ascii="Arial" w:eastAsia="Times New Roman" w:hAnsi="Arial" w:cs="Arial"/>
          <w:sz w:val="24"/>
          <w:szCs w:val="24"/>
          <w:lang w:eastAsia="pl-PL"/>
        </w:rPr>
        <w:t>rekrutera</w:t>
      </w:r>
      <w:proofErr w:type="spellEnd"/>
      <w:r w:rsidRPr="00DF038A">
        <w:rPr>
          <w:rFonts w:ascii="Arial" w:eastAsia="Times New Roman" w:hAnsi="Arial" w:cs="Arial"/>
          <w:sz w:val="24"/>
          <w:szCs w:val="24"/>
          <w:lang w:eastAsia="pl-PL"/>
        </w:rPr>
        <w:t xml:space="preserve"> pierwszym etapem jest sam proces pozyskiwania kandydatów. Coraz rzadziej sprowadza się on do biernego czekania, aż kandydat sam wyśle CV. </w:t>
      </w:r>
      <w:proofErr w:type="spellStart"/>
      <w:r w:rsidRPr="00DF038A">
        <w:rPr>
          <w:rFonts w:ascii="Arial" w:eastAsia="Times New Roman" w:hAnsi="Arial" w:cs="Arial"/>
          <w:sz w:val="24"/>
          <w:szCs w:val="24"/>
          <w:lang w:eastAsia="pl-PL"/>
        </w:rPr>
        <w:t>Rekruterzy</w:t>
      </w:r>
      <w:proofErr w:type="spellEnd"/>
      <w:r w:rsidRPr="00DF038A">
        <w:rPr>
          <w:rFonts w:ascii="Arial" w:eastAsia="Times New Roman" w:hAnsi="Arial" w:cs="Arial"/>
          <w:sz w:val="24"/>
          <w:szCs w:val="24"/>
          <w:lang w:eastAsia="pl-PL"/>
        </w:rPr>
        <w:t xml:space="preserve"> są aktywni. 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bCs/>
          <w:sz w:val="24"/>
          <w:szCs w:val="24"/>
          <w:lang w:eastAsia="pl-PL"/>
        </w:rPr>
        <w:t>Krok 2 - Selekcja i weryfikacja CV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To kolejny punkt programu pracy </w:t>
      </w:r>
      <w:proofErr w:type="spellStart"/>
      <w:r w:rsidRPr="00DF038A">
        <w:rPr>
          <w:rFonts w:ascii="Arial" w:eastAsia="Times New Roman" w:hAnsi="Arial" w:cs="Arial"/>
          <w:sz w:val="24"/>
          <w:szCs w:val="24"/>
          <w:lang w:eastAsia="pl-PL"/>
        </w:rPr>
        <w:t>rekrutera</w:t>
      </w:r>
      <w:proofErr w:type="spellEnd"/>
      <w:r w:rsidRPr="00DF038A">
        <w:rPr>
          <w:rFonts w:ascii="Arial" w:eastAsia="Times New Roman" w:hAnsi="Arial" w:cs="Arial"/>
          <w:sz w:val="24"/>
          <w:szCs w:val="24"/>
          <w:lang w:eastAsia="pl-PL"/>
        </w:rPr>
        <w:t xml:space="preserve">. Bywa, że zaangażowane są w nią systemy sztucznej inteligencji, które profilują CV kandydata i odrzucają te aplikacje, które nie spełniają twardych kryteriów (np. określonego wykształcenia, poziomu języka, długości doświadczenia). 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bCs/>
          <w:sz w:val="24"/>
          <w:szCs w:val="24"/>
          <w:lang w:eastAsia="pl-PL"/>
        </w:rPr>
        <w:t>Weryfikacja CV</w:t>
      </w:r>
      <w:r w:rsidRPr="00DF038A">
        <w:rPr>
          <w:rFonts w:ascii="Arial" w:eastAsia="Times New Roman" w:hAnsi="Arial" w:cs="Arial"/>
          <w:sz w:val="24"/>
          <w:szCs w:val="24"/>
          <w:lang w:eastAsia="pl-PL"/>
        </w:rPr>
        <w:t xml:space="preserve"> pozwala potwierdzić, czy to, co kandydat wpisał w CV i to, jak zbudował swój wizerunek, jest prawdziwe i koresponduje z oczekiwaniami firmy, która chce zatrudnić pracownika. Weryfikacja może być przeprowadzona przez firmę zewnętrzną (tzw. </w:t>
      </w:r>
      <w:proofErr w:type="spellStart"/>
      <w:r w:rsidRPr="00DF038A">
        <w:rPr>
          <w:rFonts w:ascii="Arial" w:eastAsia="Times New Roman" w:hAnsi="Arial" w:cs="Arial"/>
          <w:sz w:val="24"/>
          <w:szCs w:val="24"/>
          <w:lang w:eastAsia="pl-PL"/>
        </w:rPr>
        <w:t>background</w:t>
      </w:r>
      <w:proofErr w:type="spellEnd"/>
      <w:r w:rsidRPr="00DF038A">
        <w:rPr>
          <w:rFonts w:ascii="Arial" w:eastAsia="Times New Roman" w:hAnsi="Arial" w:cs="Arial"/>
          <w:sz w:val="24"/>
          <w:szCs w:val="24"/>
          <w:lang w:eastAsia="pl-PL"/>
        </w:rPr>
        <w:t xml:space="preserve"> screening), za pomocą rozmowy telefonicznej, analizy portfolio, czy nawet testu wiedzy (jeśli rekruter chce mieć pewność, że kandydat faktycznie posiada podane w CV umiejętności). 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Krok 3 – I spotkanie rekrutacyjne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Może być bezpośrednie bądź za pomocą rozmowy video. Może obejmować tylko rozmowę kwalifikacyjną bądź być kilkugodzinnym </w:t>
      </w:r>
      <w:proofErr w:type="spellStart"/>
      <w:r w:rsidRPr="00DF038A">
        <w:rPr>
          <w:rFonts w:ascii="Arial" w:eastAsia="Times New Roman" w:hAnsi="Arial" w:cs="Arial"/>
          <w:sz w:val="24"/>
          <w:szCs w:val="24"/>
          <w:lang w:eastAsia="pl-PL"/>
        </w:rPr>
        <w:t>Assessment</w:t>
      </w:r>
      <w:proofErr w:type="spellEnd"/>
      <w:r w:rsidRPr="00DF038A">
        <w:rPr>
          <w:rFonts w:ascii="Arial" w:eastAsia="Times New Roman" w:hAnsi="Arial" w:cs="Arial"/>
          <w:sz w:val="24"/>
          <w:szCs w:val="24"/>
          <w:lang w:eastAsia="pl-PL"/>
        </w:rPr>
        <w:t xml:space="preserve"> Center. To, co będzie się działo podczas takiego spotkania, zależy od rodzaju, poziomu stanowiska oraz tego, jaką metodologię stosuje firma. </w:t>
      </w:r>
    </w:p>
    <w:p w:rsidR="00DF038A" w:rsidRDefault="00DF038A" w:rsidP="00DF038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bCs/>
          <w:sz w:val="24"/>
          <w:szCs w:val="24"/>
          <w:lang w:eastAsia="pl-PL"/>
        </w:rPr>
        <w:t>Krok 4 – Raport rekomendacyjny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Ten etap jest ukryty dla kandydata, ale to właśnie teraz rozważana jest jego kandydatura, a kompetencje analizowane w kontekście zarówno tego, jak spełnione są kryteria stanowiska oraz tego, jak wypadł kandydat na tle swojej konkurencji. </w:t>
      </w:r>
      <w:r w:rsidRPr="00DF038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F038A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DF038A">
        <w:rPr>
          <w:rFonts w:ascii="Arial" w:eastAsia="Times New Roman" w:hAnsi="Arial" w:cs="Arial"/>
          <w:sz w:val="24"/>
          <w:szCs w:val="24"/>
          <w:lang w:eastAsia="pl-PL"/>
        </w:rPr>
        <w:t>Rekruterzy</w:t>
      </w:r>
      <w:proofErr w:type="spellEnd"/>
      <w:r w:rsidRPr="00DF038A">
        <w:rPr>
          <w:rFonts w:ascii="Arial" w:eastAsia="Times New Roman" w:hAnsi="Arial" w:cs="Arial"/>
          <w:sz w:val="24"/>
          <w:szCs w:val="24"/>
          <w:lang w:eastAsia="pl-PL"/>
        </w:rPr>
        <w:t xml:space="preserve"> stosują tu różne metody – np. wagi i ocenę punktową lub analizę opisową. Na tej bazie może być podjęta decyzja o odrzuceniu kandydata, zaproszeniu danej osoby do współpracy bądź przeniesienia go do dalszego etapu, jeśli proces rekrutacji go zakładał.  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bCs/>
          <w:sz w:val="24"/>
          <w:szCs w:val="24"/>
          <w:lang w:eastAsia="pl-PL"/>
        </w:rPr>
        <w:t>Krok 5 – II spotkanie rekrutacyjne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przypadku rekrutacji przez agencję rekrutacyjną może to być spotkanie z klientem. Przy rekrutacji przez firmę, z bezpośrednim managerem, osobą weryfikującą określone kompetencje lub innymi osobami. Bywa, że przed spotkaniem kandydat jest proszony o przygotowanie prezentacji, </w:t>
      </w:r>
      <w:proofErr w:type="spellStart"/>
      <w:r w:rsidRPr="00DF038A">
        <w:rPr>
          <w:rFonts w:ascii="Arial" w:eastAsia="Times New Roman" w:hAnsi="Arial" w:cs="Arial"/>
          <w:sz w:val="24"/>
          <w:szCs w:val="24"/>
          <w:lang w:eastAsia="pl-PL"/>
        </w:rPr>
        <w:t>case</w:t>
      </w:r>
      <w:proofErr w:type="spellEnd"/>
      <w:r w:rsidRPr="00DF03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DF038A">
        <w:rPr>
          <w:rFonts w:ascii="Arial" w:eastAsia="Times New Roman" w:hAnsi="Arial" w:cs="Arial"/>
          <w:sz w:val="24"/>
          <w:szCs w:val="24"/>
          <w:lang w:eastAsia="pl-PL"/>
        </w:rPr>
        <w:t>study</w:t>
      </w:r>
      <w:proofErr w:type="spellEnd"/>
      <w:r w:rsidRPr="00DF038A">
        <w:rPr>
          <w:rFonts w:ascii="Arial" w:eastAsia="Times New Roman" w:hAnsi="Arial" w:cs="Arial"/>
          <w:sz w:val="24"/>
          <w:szCs w:val="24"/>
          <w:lang w:eastAsia="pl-PL"/>
        </w:rPr>
        <w:t xml:space="preserve">, zastanowienie się nad rozwiązaniem konkretnego problemu. Drugie spotkanie to również często większa przestrzeń na to, by kandydat dopytał o nurtujące go kwestie, poznał lepiej firmę, potencjalne przyszłe obowiązki, możliwości rozwoju itd. 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F038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niestandardowych, rzadko stosowanych metod na wyższych poziomach rekrutacji jest na przykład badanie </w:t>
      </w:r>
      <w:proofErr w:type="spellStart"/>
      <w:r w:rsidRPr="00DF038A">
        <w:rPr>
          <w:rFonts w:ascii="Arial" w:eastAsia="Times New Roman" w:hAnsi="Arial" w:cs="Arial"/>
          <w:sz w:val="24"/>
          <w:szCs w:val="24"/>
          <w:lang w:eastAsia="pl-PL"/>
        </w:rPr>
        <w:t>wariograficzne</w:t>
      </w:r>
      <w:proofErr w:type="spellEnd"/>
      <w:r w:rsidRPr="00DF038A">
        <w:rPr>
          <w:rFonts w:ascii="Arial" w:eastAsia="Times New Roman" w:hAnsi="Arial" w:cs="Arial"/>
          <w:sz w:val="24"/>
          <w:szCs w:val="24"/>
          <w:lang w:eastAsia="pl-PL"/>
        </w:rPr>
        <w:t xml:space="preserve">, którego celem jest sprawdzenie lojalności pracownika oraz jego kontaktów z używkami. 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bCs/>
          <w:sz w:val="24"/>
          <w:szCs w:val="24"/>
          <w:lang w:eastAsia="pl-PL"/>
        </w:rPr>
        <w:t>Krok 6 – oferta / negocjacje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sz w:val="24"/>
          <w:szCs w:val="24"/>
          <w:lang w:eastAsia="pl-PL"/>
        </w:rPr>
        <w:br/>
        <w:t>Po podjęciu decyzji o tym, którego kandydata firma chce mieć w swoim zespole, prowadzący rekrutacje przedstawia mu ofertę. Powinna ona zawierać informacje techniczne (datę rozpoczęcia pracy, wynagrodzenie i jego elementy składowe, inne dodatki, do jakich pracownik będzie miał prawo) i merytoryczne (zakres obowiązków oraz wszelkie kwestie dotyczące pracy, jeśli jeszcze nie zostały poruszone). Często na tym etapie prow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adzi się negocjacje finansowe. </w:t>
      </w:r>
      <w:r w:rsidRPr="00DF038A">
        <w:rPr>
          <w:rFonts w:ascii="Arial" w:eastAsia="Times New Roman" w:hAnsi="Arial" w:cs="Arial"/>
          <w:sz w:val="24"/>
          <w:szCs w:val="24"/>
          <w:lang w:eastAsia="pl-PL"/>
        </w:rPr>
        <w:t xml:space="preserve">Kandydat zazwyczaj ma kilka dni, by podjąć decyzję. Nawet jednak uzyskana ustnie zgoda kandydata na podjęcie pracy, nie daje firmie pewności, że osoba ta faktycznie podpisze umowę. Dopiero zatem krok 7 – podpisanie umowy i rozpoczęcie pracy, kończy pracę </w:t>
      </w:r>
      <w:proofErr w:type="spellStart"/>
      <w:r w:rsidRPr="00DF038A">
        <w:rPr>
          <w:rFonts w:ascii="Arial" w:eastAsia="Times New Roman" w:hAnsi="Arial" w:cs="Arial"/>
          <w:sz w:val="24"/>
          <w:szCs w:val="24"/>
          <w:lang w:eastAsia="pl-PL"/>
        </w:rPr>
        <w:t>rekrutera</w:t>
      </w:r>
      <w:proofErr w:type="spellEnd"/>
      <w:r w:rsidRPr="00DF038A">
        <w:rPr>
          <w:rFonts w:ascii="Arial" w:eastAsia="Times New Roman" w:hAnsi="Arial" w:cs="Arial"/>
          <w:sz w:val="24"/>
          <w:szCs w:val="24"/>
          <w:lang w:eastAsia="pl-PL"/>
        </w:rPr>
        <w:t>. 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bCs/>
          <w:sz w:val="24"/>
          <w:szCs w:val="24"/>
          <w:lang w:eastAsia="pl-PL"/>
        </w:rPr>
        <w:t>Skąd czerpać informacje o etapach procesu rekrutacji u pracodawcy?</w:t>
      </w:r>
    </w:p>
    <w:p w:rsidR="00DF038A" w:rsidRPr="00DF038A" w:rsidRDefault="00DF038A" w:rsidP="00DF03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38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Coraz większa ilość pracodawców umieszcza dość dokładne informacje na temat przebiegu całego procesu na stronie internetowej w zakładce kariera, w swoim profilu pracodawcy , bądź bezpośrednio w ogłoszeniu rekrutacyjnym. </w:t>
      </w:r>
      <w:r w:rsidRPr="00DF038A">
        <w:rPr>
          <w:rFonts w:ascii="Arial" w:eastAsia="Times New Roman" w:hAnsi="Arial" w:cs="Arial"/>
          <w:sz w:val="24"/>
          <w:szCs w:val="24"/>
          <w:lang w:eastAsia="pl-PL"/>
        </w:rPr>
        <w:br/>
        <w:t>Kandydat ma też pełne prawo zapytać – nawet już na etapie wysyłania CV, jak będzie wyglądał proces rekrutacji oraz jaki jest jego przewidziany czas trwania.</w:t>
      </w:r>
    </w:p>
    <w:p w:rsidR="007F29EE" w:rsidRDefault="007F29EE" w:rsidP="00DF038A">
      <w:pPr>
        <w:jc w:val="both"/>
        <w:rPr>
          <w:rFonts w:ascii="Arial" w:hAnsi="Arial" w:cs="Arial"/>
          <w:sz w:val="24"/>
          <w:szCs w:val="24"/>
        </w:rPr>
      </w:pPr>
    </w:p>
    <w:p w:rsidR="00DF038A" w:rsidRDefault="00DF038A" w:rsidP="00DF038A">
      <w:pPr>
        <w:jc w:val="both"/>
        <w:rPr>
          <w:rFonts w:ascii="Arial" w:hAnsi="Arial" w:cs="Arial"/>
          <w:sz w:val="24"/>
          <w:szCs w:val="24"/>
          <w:u w:val="single"/>
        </w:rPr>
      </w:pPr>
      <w:r w:rsidRPr="00DF038A">
        <w:rPr>
          <w:rFonts w:ascii="Arial" w:hAnsi="Arial" w:cs="Arial"/>
          <w:sz w:val="24"/>
          <w:szCs w:val="24"/>
          <w:u w:val="single"/>
        </w:rPr>
        <w:t>STRUKTURA AKT OSOBOWYCH PRACOWNIKA</w:t>
      </w:r>
    </w:p>
    <w:p w:rsidR="00DF038A" w:rsidRDefault="00DF038A" w:rsidP="00DF038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253C7" w:rsidRDefault="00DF038A" w:rsidP="006253C7">
      <w:pPr>
        <w:pStyle w:val="NormalnyWeb"/>
        <w:jc w:val="both"/>
        <w:rPr>
          <w:rFonts w:ascii="Arial" w:hAnsi="Arial" w:cs="Arial"/>
        </w:rPr>
      </w:pPr>
      <w:r w:rsidRPr="006253C7">
        <w:rPr>
          <w:rFonts w:ascii="Arial" w:hAnsi="Arial" w:cs="Arial"/>
        </w:rPr>
        <w:t>Akta osobowe pracownika składają się z 3 części i obejmują:</w:t>
      </w:r>
    </w:p>
    <w:p w:rsidR="006253C7" w:rsidRDefault="00DF038A" w:rsidP="006253C7">
      <w:pPr>
        <w:pStyle w:val="NormalnyWeb"/>
        <w:numPr>
          <w:ilvl w:val="0"/>
          <w:numId w:val="5"/>
        </w:numPr>
        <w:jc w:val="both"/>
        <w:rPr>
          <w:rFonts w:ascii="Arial" w:hAnsi="Arial" w:cs="Arial"/>
        </w:rPr>
      </w:pPr>
      <w:r w:rsidRPr="006253C7">
        <w:rPr>
          <w:rFonts w:ascii="Arial" w:hAnsi="Arial" w:cs="Arial"/>
        </w:rPr>
        <w:t>w części A - dokumenty zgromadzone w związku z</w:t>
      </w:r>
      <w:r w:rsidR="006253C7">
        <w:rPr>
          <w:rFonts w:ascii="Arial" w:hAnsi="Arial" w:cs="Arial"/>
        </w:rPr>
        <w:t xml:space="preserve"> ubieganiem się o zatrudnienie,</w:t>
      </w:r>
    </w:p>
    <w:p w:rsidR="006253C7" w:rsidRDefault="00DF038A" w:rsidP="006253C7">
      <w:pPr>
        <w:pStyle w:val="NormalnyWeb"/>
        <w:numPr>
          <w:ilvl w:val="0"/>
          <w:numId w:val="5"/>
        </w:numPr>
        <w:jc w:val="both"/>
        <w:rPr>
          <w:rFonts w:ascii="Arial" w:hAnsi="Arial" w:cs="Arial"/>
        </w:rPr>
      </w:pPr>
      <w:r w:rsidRPr="006253C7">
        <w:rPr>
          <w:rFonts w:ascii="Arial" w:hAnsi="Arial" w:cs="Arial"/>
        </w:rPr>
        <w:t>w części B - dokumenty dotyczące nawiązania stosunku pracy oraz przebi</w:t>
      </w:r>
      <w:r w:rsidR="006253C7">
        <w:rPr>
          <w:rFonts w:ascii="Arial" w:hAnsi="Arial" w:cs="Arial"/>
        </w:rPr>
        <w:t>egu zatrudnienia pracownika,</w:t>
      </w:r>
    </w:p>
    <w:p w:rsidR="00DF038A" w:rsidRPr="006253C7" w:rsidRDefault="00DF038A" w:rsidP="006253C7">
      <w:pPr>
        <w:pStyle w:val="NormalnyWeb"/>
        <w:numPr>
          <w:ilvl w:val="0"/>
          <w:numId w:val="5"/>
        </w:numPr>
        <w:jc w:val="both"/>
        <w:rPr>
          <w:rFonts w:ascii="Arial" w:hAnsi="Arial" w:cs="Arial"/>
        </w:rPr>
      </w:pPr>
      <w:r w:rsidRPr="006253C7">
        <w:rPr>
          <w:rFonts w:ascii="Arial" w:hAnsi="Arial" w:cs="Arial"/>
        </w:rPr>
        <w:t>w części C - dokumenty związane z ustaniem zatrudnienia.</w:t>
      </w:r>
    </w:p>
    <w:p w:rsidR="00DF038A" w:rsidRPr="006253C7" w:rsidRDefault="00DF038A" w:rsidP="006253C7">
      <w:pPr>
        <w:pStyle w:val="NormalnyWeb"/>
        <w:jc w:val="both"/>
        <w:rPr>
          <w:rFonts w:ascii="Arial" w:hAnsi="Arial" w:cs="Arial"/>
        </w:rPr>
      </w:pPr>
      <w:r w:rsidRPr="006253C7">
        <w:rPr>
          <w:rFonts w:ascii="Arial" w:hAnsi="Arial" w:cs="Arial"/>
        </w:rPr>
        <w:t>Część A będzie się składać głownie z kwestionariusza osobowego, jakiego pracodawca może żądać od pracownika starającego się o przyjęcie do pracy, oraz ze świadectw pracy wydanych przez poprzednich pracodawców takiego pracownika.</w:t>
      </w:r>
    </w:p>
    <w:p w:rsidR="00DF038A" w:rsidRPr="006253C7" w:rsidRDefault="00DF038A" w:rsidP="006253C7">
      <w:pPr>
        <w:jc w:val="both"/>
        <w:rPr>
          <w:rFonts w:ascii="Arial" w:hAnsi="Arial" w:cs="Arial"/>
          <w:sz w:val="24"/>
          <w:szCs w:val="24"/>
        </w:rPr>
      </w:pPr>
    </w:p>
    <w:p w:rsidR="006253C7" w:rsidRDefault="00DF038A" w:rsidP="006253C7">
      <w:p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Część B składa się głownie z:</w:t>
      </w:r>
    </w:p>
    <w:p w:rsidR="006253C7" w:rsidRDefault="00DF038A" w:rsidP="006253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 xml:space="preserve">umowy o pracę, a jeżeli umowa nie została zawarta na piśmie - potwierdzenie ustaleń co do rodzaju umowy oraz jej warunków, a także zakres czynności (zakres obowiązków), jeżeli </w:t>
      </w:r>
      <w:r w:rsidRPr="006253C7">
        <w:rPr>
          <w:rFonts w:ascii="Arial" w:hAnsi="Arial" w:cs="Arial"/>
          <w:bCs/>
          <w:sz w:val="24"/>
          <w:szCs w:val="24"/>
        </w:rPr>
        <w:t>pracodawca</w:t>
      </w:r>
      <w:r w:rsidRPr="006253C7">
        <w:rPr>
          <w:rFonts w:ascii="Arial" w:hAnsi="Arial" w:cs="Arial"/>
          <w:sz w:val="24"/>
          <w:szCs w:val="24"/>
        </w:rPr>
        <w:t xml:space="preserve"> dodatkowo w tej formie określił zadania pracownika</w:t>
      </w:r>
      <w:r w:rsidR="006253C7">
        <w:rPr>
          <w:rFonts w:ascii="Arial" w:hAnsi="Arial" w:cs="Arial"/>
          <w:sz w:val="24"/>
          <w:szCs w:val="24"/>
        </w:rPr>
        <w:t xml:space="preserve"> wynikające z umowy o pracę,</w:t>
      </w:r>
    </w:p>
    <w:p w:rsidR="006253C7" w:rsidRDefault="00DF038A" w:rsidP="006253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dokumenty dotyczące wykonywan</w:t>
      </w:r>
      <w:r w:rsidR="006253C7">
        <w:rPr>
          <w:rFonts w:ascii="Arial" w:hAnsi="Arial" w:cs="Arial"/>
          <w:sz w:val="24"/>
          <w:szCs w:val="24"/>
        </w:rPr>
        <w:t>ia pracy w formie telepracy,</w:t>
      </w:r>
    </w:p>
    <w:p w:rsidR="006253C7" w:rsidRDefault="00DF038A" w:rsidP="006253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pisemnego potwierdzenia zapoznania się przez pracownika z przepisami i informacjami określonymi takimi jak regulamin pracy oraz zaświadczenia o ukończeniu wymaganego szkolenia w zakresie bez</w:t>
      </w:r>
      <w:r w:rsidR="006253C7">
        <w:rPr>
          <w:rFonts w:ascii="Arial" w:hAnsi="Arial" w:cs="Arial"/>
          <w:sz w:val="24"/>
          <w:szCs w:val="24"/>
        </w:rPr>
        <w:t>pieczeństwa i higieny pracy,</w:t>
      </w:r>
    </w:p>
    <w:p w:rsidR="006253C7" w:rsidRDefault="00DF038A" w:rsidP="006253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oświadczenia pracownika będącego rodzicem lub opiekunem dziecka o zamiarze lub o braku zamiaru korzystania z uprawnień rodzicielskich,</w:t>
      </w:r>
      <w:r w:rsidR="006253C7">
        <w:rPr>
          <w:rFonts w:ascii="Arial" w:hAnsi="Arial" w:cs="Arial"/>
          <w:sz w:val="24"/>
          <w:szCs w:val="24"/>
        </w:rPr>
        <w:t xml:space="preserve"> takich jak dodatkowy urlop,</w:t>
      </w:r>
    </w:p>
    <w:p w:rsidR="006253C7" w:rsidRDefault="00DF038A" w:rsidP="006253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dokumentów dotyczących powierzenia pracownikowi mienia z obowiązkiem zw</w:t>
      </w:r>
      <w:r w:rsidR="006253C7">
        <w:rPr>
          <w:rFonts w:ascii="Arial" w:hAnsi="Arial" w:cs="Arial"/>
          <w:sz w:val="24"/>
          <w:szCs w:val="24"/>
        </w:rPr>
        <w:t>rotu albo do wyliczenia się,</w:t>
      </w:r>
    </w:p>
    <w:p w:rsidR="006253C7" w:rsidRDefault="00DF038A" w:rsidP="006253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dokumentów związanych z podnoszeniem przez pracown</w:t>
      </w:r>
      <w:r w:rsidR="006253C7">
        <w:rPr>
          <w:rFonts w:ascii="Arial" w:hAnsi="Arial" w:cs="Arial"/>
          <w:sz w:val="24"/>
          <w:szCs w:val="24"/>
        </w:rPr>
        <w:t>ika kwalifikacji zawodowych,</w:t>
      </w:r>
    </w:p>
    <w:p w:rsidR="006253C7" w:rsidRDefault="00DF038A" w:rsidP="006253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 xml:space="preserve">oświadczeń dotyczące wypowiedzenia </w:t>
      </w:r>
      <w:hyperlink r:id="rId5" w:tooltip="pracownikow" w:history="1">
        <w:r w:rsidRPr="006253C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pracownikow</w:t>
        </w:r>
      </w:hyperlink>
      <w:r w:rsidRPr="006253C7">
        <w:rPr>
          <w:rFonts w:ascii="Arial" w:hAnsi="Arial" w:cs="Arial"/>
          <w:sz w:val="24"/>
          <w:szCs w:val="24"/>
        </w:rPr>
        <w:t>i warunków umowy o pracę lub zmiany tych warunków w innym trybie,</w:t>
      </w:r>
    </w:p>
    <w:p w:rsidR="006253C7" w:rsidRDefault="00DF038A" w:rsidP="006253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lastRenderedPageBreak/>
        <w:t>dokumentów związane z przyznaniem pracownikowi nagrody lub wyróżnienia oraz wy</w:t>
      </w:r>
      <w:r w:rsidR="006253C7">
        <w:rPr>
          <w:rFonts w:ascii="Arial" w:hAnsi="Arial" w:cs="Arial"/>
          <w:sz w:val="24"/>
          <w:szCs w:val="24"/>
        </w:rPr>
        <w:t>mierzeniem kary porządkowej,</w:t>
      </w:r>
    </w:p>
    <w:p w:rsidR="006253C7" w:rsidRDefault="00DF038A" w:rsidP="006253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pism dotyczących udzielenia pracownikowi dodatkowego urlopu macierzyńskiego, dodatkowego urlopu na warunkach urlopu macierzyńskiego, urlopu ojcowskiego, urlopu wychowawcz</w:t>
      </w:r>
      <w:r w:rsidR="006253C7">
        <w:rPr>
          <w:rFonts w:ascii="Arial" w:hAnsi="Arial" w:cs="Arial"/>
          <w:sz w:val="24"/>
          <w:szCs w:val="24"/>
        </w:rPr>
        <w:t>ego oraz urlopu bezpłatnego,</w:t>
      </w:r>
    </w:p>
    <w:p w:rsidR="006253C7" w:rsidRDefault="00DF038A" w:rsidP="006253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dokumentów związanych z obn</w:t>
      </w:r>
      <w:r w:rsidR="006253C7">
        <w:rPr>
          <w:rFonts w:ascii="Arial" w:hAnsi="Arial" w:cs="Arial"/>
          <w:sz w:val="24"/>
          <w:szCs w:val="24"/>
        </w:rPr>
        <w:t>iżeniem wymiaru czasu pracy,</w:t>
      </w:r>
    </w:p>
    <w:p w:rsidR="006253C7" w:rsidRDefault="00DF038A" w:rsidP="006253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orzeczeń lekarskich wydanych w związku z przeprowadzonymi badaniami okresowymi i kontrolnymi,</w:t>
      </w:r>
    </w:p>
    <w:p w:rsidR="006253C7" w:rsidRDefault="00DF038A" w:rsidP="006253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umowy o zakazie konkurencji, jeżeli strony zawarły taką umowę w okresie p</w:t>
      </w:r>
      <w:r w:rsidR="006253C7">
        <w:rPr>
          <w:rFonts w:ascii="Arial" w:hAnsi="Arial" w:cs="Arial"/>
          <w:sz w:val="24"/>
          <w:szCs w:val="24"/>
        </w:rPr>
        <w:t>ozostawania w stosunku pracy,</w:t>
      </w:r>
    </w:p>
    <w:p w:rsidR="006253C7" w:rsidRDefault="00DF038A" w:rsidP="006253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wniosków pracownika dotyczących ustalenia indywidualnego rozkładu jego czasu pracy, stosowania do niego systemu skróconego tygodnia pracy, a także stosowania do niego systemu czasu pracy, w którym praca jest świadczona wyłącznie w piątki,</w:t>
      </w:r>
      <w:r w:rsidR="006253C7">
        <w:rPr>
          <w:rFonts w:ascii="Arial" w:hAnsi="Arial" w:cs="Arial"/>
          <w:sz w:val="24"/>
          <w:szCs w:val="24"/>
        </w:rPr>
        <w:t xml:space="preserve"> soboty, niedziele i święta,</w:t>
      </w:r>
    </w:p>
    <w:p w:rsidR="006253C7" w:rsidRDefault="00DF038A" w:rsidP="006253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korespondencji z reprezentującą pracownika zakładową organizacją związkową we wszystkich sprawach ze stosunku pracy wymagających współdziałania pracodawcy z tą organizacją lub innymi podmiotami konsultujący</w:t>
      </w:r>
      <w:r w:rsidR="006253C7">
        <w:rPr>
          <w:rFonts w:ascii="Arial" w:hAnsi="Arial" w:cs="Arial"/>
          <w:sz w:val="24"/>
          <w:szCs w:val="24"/>
        </w:rPr>
        <w:t>mi sprawy ze stosunku pracy,</w:t>
      </w:r>
    </w:p>
    <w:p w:rsidR="006253C7" w:rsidRDefault="00DF038A" w:rsidP="006253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kopii zawiadomienia powiatowego urzędu pracy o zatrudnieniu pracownika, uprzednio zarejestrow</w:t>
      </w:r>
      <w:r w:rsidR="006253C7">
        <w:rPr>
          <w:rFonts w:ascii="Arial" w:hAnsi="Arial" w:cs="Arial"/>
          <w:sz w:val="24"/>
          <w:szCs w:val="24"/>
        </w:rPr>
        <w:t>anego jako osoba bezrobotna,</w:t>
      </w:r>
    </w:p>
    <w:p w:rsidR="00DF038A" w:rsidRPr="006253C7" w:rsidRDefault="00DF038A" w:rsidP="006253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informacji dotyczących wykonywania przez pracownika powszechnego obowiązku obrony.</w:t>
      </w:r>
    </w:p>
    <w:p w:rsidR="00DF038A" w:rsidRPr="006253C7" w:rsidRDefault="00DF038A" w:rsidP="006253C7">
      <w:pPr>
        <w:jc w:val="both"/>
        <w:rPr>
          <w:rFonts w:ascii="Arial" w:hAnsi="Arial" w:cs="Arial"/>
          <w:sz w:val="24"/>
          <w:szCs w:val="24"/>
        </w:rPr>
      </w:pPr>
    </w:p>
    <w:p w:rsidR="006253C7" w:rsidRDefault="00DF038A" w:rsidP="006253C7">
      <w:p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Część C składa się w szczególności z:</w:t>
      </w:r>
    </w:p>
    <w:p w:rsidR="006253C7" w:rsidRDefault="00DF038A" w:rsidP="006253C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 xml:space="preserve">oświadczenia o wypowiedzeniu lub rozwiązaniu </w:t>
      </w:r>
      <w:hyperlink r:id="rId6" w:tooltip="umowy o pracę" w:history="1">
        <w:r w:rsidRPr="006253C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umowy o pracę</w:t>
        </w:r>
      </w:hyperlink>
      <w:r w:rsidR="006253C7">
        <w:rPr>
          <w:rFonts w:ascii="Arial" w:hAnsi="Arial" w:cs="Arial"/>
          <w:sz w:val="24"/>
          <w:szCs w:val="24"/>
        </w:rPr>
        <w:t>,</w:t>
      </w:r>
    </w:p>
    <w:p w:rsidR="006253C7" w:rsidRDefault="00DF038A" w:rsidP="006253C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żądania wydania świadectwa pracy oraz żądania związane z niewypłaceniem pracownikowi ekwiwalentu pienię</w:t>
      </w:r>
      <w:r w:rsidR="006253C7">
        <w:rPr>
          <w:rFonts w:ascii="Arial" w:hAnsi="Arial" w:cs="Arial"/>
          <w:sz w:val="24"/>
          <w:szCs w:val="24"/>
        </w:rPr>
        <w:t>żnego za urlop wypoczynkowy,</w:t>
      </w:r>
    </w:p>
    <w:p w:rsidR="006253C7" w:rsidRDefault="00DF038A" w:rsidP="006253C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kopii wydanego pr</w:t>
      </w:r>
      <w:r w:rsidR="006253C7">
        <w:rPr>
          <w:rFonts w:ascii="Arial" w:hAnsi="Arial" w:cs="Arial"/>
          <w:sz w:val="24"/>
          <w:szCs w:val="24"/>
        </w:rPr>
        <w:t>acownikowi świadectwa pracy,</w:t>
      </w:r>
    </w:p>
    <w:p w:rsidR="006253C7" w:rsidRDefault="00DF038A" w:rsidP="006253C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potwierdzenia dokonania czynności związanych z zajęciem wynagrodzenia za pracę w związku z prowadzonym</w:t>
      </w:r>
      <w:r w:rsidR="006253C7">
        <w:rPr>
          <w:rFonts w:ascii="Arial" w:hAnsi="Arial" w:cs="Arial"/>
          <w:sz w:val="24"/>
          <w:szCs w:val="24"/>
        </w:rPr>
        <w:t xml:space="preserve"> postępowaniem egzekucyjnym,</w:t>
      </w:r>
    </w:p>
    <w:p w:rsidR="006253C7" w:rsidRDefault="00DF038A" w:rsidP="006253C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253C7">
        <w:rPr>
          <w:rFonts w:ascii="Arial" w:hAnsi="Arial" w:cs="Arial"/>
          <w:sz w:val="24"/>
          <w:szCs w:val="24"/>
        </w:rPr>
        <w:t>umowy o zakazie konkurencji po rozwiązaniu stosunku pracy, jeżel</w:t>
      </w:r>
      <w:r w:rsidR="006253C7">
        <w:rPr>
          <w:rFonts w:ascii="Arial" w:hAnsi="Arial" w:cs="Arial"/>
          <w:sz w:val="24"/>
          <w:szCs w:val="24"/>
        </w:rPr>
        <w:t>i strony zawarły taką umowę,</w:t>
      </w:r>
    </w:p>
    <w:p w:rsidR="00DF038A" w:rsidRPr="006253C7" w:rsidRDefault="00DF038A" w:rsidP="006253C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253C7">
        <w:rPr>
          <w:rFonts w:ascii="Arial" w:hAnsi="Arial" w:cs="Arial"/>
          <w:sz w:val="24"/>
          <w:szCs w:val="24"/>
        </w:rPr>
        <w:t>orzeczeń lekarskich wydanych w związku z przeprowadzonymi badaniami okresowymi po rozwiązaniu stosunku pracy.</w:t>
      </w:r>
    </w:p>
    <w:p w:rsidR="00DF038A" w:rsidRPr="006253C7" w:rsidRDefault="00DF038A" w:rsidP="006253C7">
      <w:pPr>
        <w:jc w:val="both"/>
        <w:rPr>
          <w:rFonts w:ascii="Arial" w:hAnsi="Arial" w:cs="Arial"/>
          <w:sz w:val="24"/>
          <w:szCs w:val="24"/>
        </w:rPr>
      </w:pPr>
    </w:p>
    <w:p w:rsidR="00DF038A" w:rsidRPr="006253C7" w:rsidRDefault="00DF038A" w:rsidP="006253C7">
      <w:pPr>
        <w:jc w:val="both"/>
        <w:rPr>
          <w:rFonts w:ascii="Arial" w:hAnsi="Arial" w:cs="Arial"/>
          <w:sz w:val="24"/>
          <w:szCs w:val="24"/>
        </w:rPr>
      </w:pPr>
    </w:p>
    <w:sectPr w:rsidR="00DF038A" w:rsidRPr="0062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8EC"/>
    <w:multiLevelType w:val="hybridMultilevel"/>
    <w:tmpl w:val="5936F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C6586"/>
    <w:multiLevelType w:val="hybridMultilevel"/>
    <w:tmpl w:val="4486181C"/>
    <w:lvl w:ilvl="0" w:tplc="D43240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DA74F6"/>
    <w:multiLevelType w:val="multilevel"/>
    <w:tmpl w:val="C33A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828FB"/>
    <w:multiLevelType w:val="hybridMultilevel"/>
    <w:tmpl w:val="C9DCA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B72CE"/>
    <w:multiLevelType w:val="hybridMultilevel"/>
    <w:tmpl w:val="46FCB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E6464"/>
    <w:multiLevelType w:val="hybridMultilevel"/>
    <w:tmpl w:val="25E88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77642"/>
    <w:multiLevelType w:val="hybridMultilevel"/>
    <w:tmpl w:val="0422E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EE"/>
    <w:rsid w:val="003508F1"/>
    <w:rsid w:val="006253C7"/>
    <w:rsid w:val="007F29EE"/>
    <w:rsid w:val="00D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E39E6-42B2-481A-AE05-FBE99221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-txt">
    <w:name w:val="ramka-txt"/>
    <w:basedOn w:val="Normalny"/>
    <w:rsid w:val="007F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7F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9EE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0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ry.infor.pl/zatrudnienie/umowa-o-prace/" TargetMode="External"/><Relationship Id="rId5" Type="http://schemas.openxmlformats.org/officeDocument/2006/relationships/hyperlink" Target="http://kadry.infor.pl/zatrudnienie/umowa-o-prace/219093,Co-musi-a-co-moze-znalezc-sie-w-umowie-o-pra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2186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i Andrzej</dc:creator>
  <cp:keywords/>
  <dc:description/>
  <cp:lastModifiedBy>Dominika i Andrzej</cp:lastModifiedBy>
  <cp:revision>1</cp:revision>
  <dcterms:created xsi:type="dcterms:W3CDTF">2021-01-24T08:34:00Z</dcterms:created>
  <dcterms:modified xsi:type="dcterms:W3CDTF">2021-01-24T09:00:00Z</dcterms:modified>
</cp:coreProperties>
</file>