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81" w:rsidRDefault="00C34B81">
      <w:pPr>
        <w:rPr>
          <w:b/>
        </w:rPr>
      </w:pPr>
      <w:r w:rsidRPr="00C34B81">
        <w:rPr>
          <w:b/>
        </w:rPr>
        <w:t>Drodzy Słuchacze s. V LO !</w:t>
      </w:r>
    </w:p>
    <w:p w:rsidR="00C34B81" w:rsidRDefault="00C34B81">
      <w:r>
        <w:t xml:space="preserve">Przesyłam skróconą notatkę z kolejnych zajęć. Celowo opuściłam punkt dotyczący interpretacji tytułu – „Inny świat”, gdyż było to jedno z zadań pracy kontrolnej. </w:t>
      </w:r>
    </w:p>
    <w:p w:rsidR="00C34B81" w:rsidRDefault="00C34B81">
      <w:r>
        <w:t>Proszę też o uzupełnienie notatki o krótką charakterystykę bohaterów wymienionych w p. 6.</w:t>
      </w:r>
    </w:p>
    <w:p w:rsidR="00C34B81" w:rsidRDefault="00C34B81">
      <w:r>
        <w:t xml:space="preserve">Proszę też zastanowić się, na czym polegała hierarchia wśród więźniów łagru w </w:t>
      </w:r>
      <w:proofErr w:type="spellStart"/>
      <w:r>
        <w:t>Jercewie</w:t>
      </w:r>
      <w:proofErr w:type="spellEnd"/>
      <w:r>
        <w:t xml:space="preserve">. Kim byli </w:t>
      </w:r>
      <w:proofErr w:type="spellStart"/>
      <w:r>
        <w:t>urkowie</w:t>
      </w:r>
      <w:proofErr w:type="spellEnd"/>
      <w:r>
        <w:t xml:space="preserve"> (jedno z poleceń pracy kontrolnej), </w:t>
      </w:r>
      <w:proofErr w:type="spellStart"/>
      <w:r>
        <w:t>bezprizorni</w:t>
      </w:r>
      <w:proofErr w:type="spellEnd"/>
      <w:r>
        <w:t xml:space="preserve">, </w:t>
      </w:r>
      <w:proofErr w:type="spellStart"/>
      <w:r>
        <w:t>bytownicy</w:t>
      </w:r>
      <w:proofErr w:type="spellEnd"/>
      <w:r>
        <w:t xml:space="preserve">, stachanowcy? Dlaczego mieli bardziej uprzywilejowana pozycję niż </w:t>
      </w:r>
      <w:proofErr w:type="spellStart"/>
      <w:r>
        <w:t>biełoruczki</w:t>
      </w:r>
      <w:proofErr w:type="spellEnd"/>
      <w:r>
        <w:t xml:space="preserve"> (polityczni, inteligenci)? </w:t>
      </w:r>
      <w:r w:rsidR="007754D0">
        <w:t>Jaki był los więźniów określanych jako „</w:t>
      </w:r>
      <w:proofErr w:type="spellStart"/>
      <w:r w:rsidR="007754D0">
        <w:t>aktirowka</w:t>
      </w:r>
      <w:proofErr w:type="spellEnd"/>
      <w:r w:rsidR="007754D0">
        <w:t>” i „</w:t>
      </w:r>
      <w:proofErr w:type="spellStart"/>
      <w:r w:rsidR="007754D0">
        <w:t>słabosiłka</w:t>
      </w:r>
      <w:proofErr w:type="spellEnd"/>
      <w:r w:rsidR="007754D0">
        <w:t>”?</w:t>
      </w:r>
    </w:p>
    <w:p w:rsidR="007754D0" w:rsidRDefault="007754D0">
      <w:r>
        <w:t>Jaki był los kobiet w obozie? Czym była praca dla więźniów?</w:t>
      </w:r>
    </w:p>
    <w:p w:rsidR="00C34B81" w:rsidRPr="00514C2B" w:rsidRDefault="00514C2B">
      <w:r w:rsidRPr="00514C2B">
        <w:t>Istotne zagadnienia macie Państwo w pracy kontrolnej, więc ich nie powielam.</w:t>
      </w:r>
      <w:r>
        <w:t xml:space="preserve"> </w:t>
      </w:r>
    </w:p>
    <w:p w:rsidR="00C34B81" w:rsidRDefault="007754D0">
      <w:r>
        <w:t>Proszę spróbować napisać rozprawkę na temat: „Tu otwierał się inny, odrębny świat…” – wyjaśnij sens motta powieści G. Herlinga – Grudzińskiego. To zadanie głównie dla osób przymierzających się do matury.</w:t>
      </w:r>
    </w:p>
    <w:p w:rsidR="00514C2B" w:rsidRDefault="00514C2B">
      <w:r>
        <w:t xml:space="preserve">Zamieściłam też notatkę dot. wiersza „Ocalony” Różewicza. Tekst i szerszą interpretację znajdziecie Państwo na stronie www.aleklasa.pl </w:t>
      </w:r>
    </w:p>
    <w:p w:rsidR="007754D0" w:rsidRDefault="007754D0">
      <w:r>
        <w:t xml:space="preserve">                                                                    Dużo zdrowia! Do zobaczenia!</w:t>
      </w:r>
    </w:p>
    <w:p w:rsidR="00514C2B" w:rsidRDefault="00514C2B"/>
    <w:p w:rsidR="00514C2B" w:rsidRDefault="00514C2B">
      <w:r>
        <w:t xml:space="preserve">                                                                                              M. Pawlak</w:t>
      </w:r>
    </w:p>
    <w:p w:rsidR="007754D0" w:rsidRDefault="007754D0">
      <w:pPr>
        <w:rPr>
          <w:b/>
        </w:rPr>
      </w:pPr>
    </w:p>
    <w:p w:rsidR="00C34B81" w:rsidRDefault="00C34B81">
      <w:pPr>
        <w:rPr>
          <w:b/>
        </w:rPr>
      </w:pPr>
    </w:p>
    <w:p w:rsidR="00C34B81" w:rsidRDefault="00C34B81">
      <w:pPr>
        <w:rPr>
          <w:b/>
        </w:rPr>
      </w:pPr>
    </w:p>
    <w:p w:rsidR="00C34B81" w:rsidRDefault="00C34B81">
      <w:pPr>
        <w:rPr>
          <w:b/>
        </w:rPr>
      </w:pPr>
    </w:p>
    <w:p w:rsidR="00C34B81" w:rsidRDefault="00C34B81">
      <w:pPr>
        <w:rPr>
          <w:b/>
        </w:rPr>
      </w:pPr>
    </w:p>
    <w:p w:rsidR="00C34B81" w:rsidRDefault="00C34B81">
      <w:pPr>
        <w:rPr>
          <w:b/>
        </w:rPr>
      </w:pPr>
    </w:p>
    <w:p w:rsidR="00C34B81" w:rsidRDefault="00C34B81">
      <w:pPr>
        <w:rPr>
          <w:b/>
        </w:rPr>
      </w:pPr>
    </w:p>
    <w:p w:rsidR="00C34B81" w:rsidRDefault="00C34B81">
      <w:pPr>
        <w:rPr>
          <w:b/>
        </w:rPr>
      </w:pPr>
    </w:p>
    <w:p w:rsidR="00C34B81" w:rsidRDefault="00C34B81">
      <w:pPr>
        <w:rPr>
          <w:b/>
        </w:rPr>
      </w:pPr>
    </w:p>
    <w:p w:rsidR="00C34B81" w:rsidRDefault="00C34B81">
      <w:pPr>
        <w:rPr>
          <w:b/>
        </w:rPr>
      </w:pPr>
    </w:p>
    <w:p w:rsidR="00C34B81" w:rsidRDefault="00C34B81">
      <w:pPr>
        <w:rPr>
          <w:b/>
        </w:rPr>
      </w:pPr>
    </w:p>
    <w:p w:rsidR="00C34B81" w:rsidRDefault="00C34B81">
      <w:pPr>
        <w:rPr>
          <w:b/>
        </w:rPr>
      </w:pPr>
    </w:p>
    <w:p w:rsidR="002C04EB" w:rsidRPr="00E02173" w:rsidRDefault="00E02173" w:rsidP="00514C2B">
      <w:pPr>
        <w:jc w:val="center"/>
        <w:rPr>
          <w:b/>
        </w:rPr>
      </w:pPr>
      <w:r w:rsidRPr="00E02173">
        <w:rPr>
          <w:b/>
        </w:rPr>
        <w:lastRenderedPageBreak/>
        <w:t>Gustaw Herling- Grudziński  „Inny świat”</w:t>
      </w:r>
    </w:p>
    <w:p w:rsidR="00E02173" w:rsidRDefault="00C34B81" w:rsidP="00C34B81">
      <w:pPr>
        <w:jc w:val="both"/>
      </w:pPr>
      <w:r w:rsidRPr="00C34B81">
        <w:rPr>
          <w:b/>
        </w:rPr>
        <w:t>1.</w:t>
      </w:r>
      <w:r>
        <w:rPr>
          <w:b/>
        </w:rPr>
        <w:t xml:space="preserve"> </w:t>
      </w:r>
      <w:r w:rsidR="00E02173" w:rsidRPr="00C34B81">
        <w:rPr>
          <w:b/>
        </w:rPr>
        <w:t>Geneza</w:t>
      </w:r>
      <w:r w:rsidR="00E02173">
        <w:t xml:space="preserve"> - „Inny świat” jest literackim zapisem wspomnień autora z przymusowego pobytu                   w sowieckim obozie pracy w </w:t>
      </w:r>
      <w:proofErr w:type="spellStart"/>
      <w:r w:rsidR="00E02173">
        <w:t>Jercewie</w:t>
      </w:r>
      <w:proofErr w:type="spellEnd"/>
      <w:r w:rsidR="00E02173">
        <w:t xml:space="preserve"> pod Archangielskiem w latach 1940-42. Utwór należy do </w:t>
      </w:r>
      <w:r w:rsidR="00E02173" w:rsidRPr="00C34B81">
        <w:rPr>
          <w:b/>
        </w:rPr>
        <w:t>literatury faktu</w:t>
      </w:r>
      <w:r w:rsidR="00E02173">
        <w:t xml:space="preserve"> – fabuła została oparta na prawdziwych wydarzeniach, a bohaterami są autentyczni ludzie – więźniowie łagru. Podawane są autentyczne daty, ,miejsca, wydarzenia. </w:t>
      </w:r>
    </w:p>
    <w:p w:rsidR="00E02173" w:rsidRDefault="00C34B81" w:rsidP="00E02173">
      <w:pPr>
        <w:jc w:val="both"/>
      </w:pPr>
      <w:r>
        <w:rPr>
          <w:b/>
        </w:rPr>
        <w:t xml:space="preserve">2. </w:t>
      </w:r>
      <w:r w:rsidR="00E02173" w:rsidRPr="00E02173">
        <w:rPr>
          <w:b/>
        </w:rPr>
        <w:t xml:space="preserve">Gatunek </w:t>
      </w:r>
      <w:r w:rsidR="00E02173">
        <w:t xml:space="preserve">- „Inny świat” jest </w:t>
      </w:r>
      <w:r w:rsidR="00E02173" w:rsidRPr="00E02173">
        <w:rPr>
          <w:b/>
          <w:u w:val="single"/>
        </w:rPr>
        <w:t>powieścią autobiograficzną</w:t>
      </w:r>
      <w:r w:rsidR="00E02173">
        <w:t xml:space="preserve"> (przedstawia wydarzenia z życia autora), zawiera także </w:t>
      </w:r>
      <w:r w:rsidR="00E02173" w:rsidRPr="00E02173">
        <w:rPr>
          <w:b/>
        </w:rPr>
        <w:t>cechy</w:t>
      </w:r>
      <w:r w:rsidR="00E02173">
        <w:t xml:space="preserve"> </w:t>
      </w:r>
      <w:r w:rsidR="00E02173" w:rsidRPr="00E02173">
        <w:rPr>
          <w:b/>
        </w:rPr>
        <w:t>reportażu</w:t>
      </w:r>
      <w:r w:rsidR="00E02173">
        <w:t xml:space="preserve"> (autor jest świadkiem i uczestnikiem wydarzeń), </w:t>
      </w:r>
      <w:r w:rsidR="00E02173" w:rsidRPr="00E02173">
        <w:rPr>
          <w:b/>
        </w:rPr>
        <w:t>pamiętnika</w:t>
      </w:r>
      <w:r w:rsidR="00E02173">
        <w:t xml:space="preserve"> (zapis własnych doświadczeń), </w:t>
      </w:r>
      <w:r w:rsidR="00E02173" w:rsidRPr="00E02173">
        <w:rPr>
          <w:b/>
        </w:rPr>
        <w:t>eseju filozoficznego</w:t>
      </w:r>
      <w:r w:rsidR="00E02173">
        <w:t xml:space="preserve"> (rozważania filozoficzne                    i etyczne).</w:t>
      </w:r>
    </w:p>
    <w:p w:rsidR="00E02173" w:rsidRDefault="00C34B81" w:rsidP="00E02173">
      <w:pPr>
        <w:jc w:val="both"/>
      </w:pPr>
      <w:r>
        <w:rPr>
          <w:b/>
        </w:rPr>
        <w:t xml:space="preserve">3. </w:t>
      </w:r>
      <w:r w:rsidR="00E02173" w:rsidRPr="00BD3CF0">
        <w:rPr>
          <w:b/>
        </w:rPr>
        <w:t>Czas i miejsce akcji</w:t>
      </w:r>
      <w:r w:rsidR="00E02173">
        <w:t xml:space="preserve"> – </w:t>
      </w:r>
      <w:r w:rsidR="00BD3CF0">
        <w:t>s</w:t>
      </w:r>
      <w:r w:rsidR="00E02173">
        <w:t>ierpień 1940 – czerwiec 1945</w:t>
      </w:r>
      <w:r w:rsidR="00BD3CF0">
        <w:t xml:space="preserve"> r. Główne miejsce wydarzeń – obóz pracy w </w:t>
      </w:r>
      <w:proofErr w:type="spellStart"/>
      <w:r w:rsidR="00BD3CF0">
        <w:t>Jercewie</w:t>
      </w:r>
      <w:proofErr w:type="spellEnd"/>
      <w:r w:rsidR="00BD3CF0">
        <w:t>, ponadto więzienia w Witebsku, Leningradzie i Wołogdzie oraz w Epilogu Rzym.</w:t>
      </w:r>
    </w:p>
    <w:p w:rsidR="00BD3CF0" w:rsidRDefault="00C34B81" w:rsidP="00E02173">
      <w:pPr>
        <w:jc w:val="both"/>
      </w:pPr>
      <w:r>
        <w:rPr>
          <w:b/>
        </w:rPr>
        <w:t xml:space="preserve">4. </w:t>
      </w:r>
      <w:r w:rsidR="00BD3CF0" w:rsidRPr="00BD3CF0">
        <w:rPr>
          <w:b/>
        </w:rPr>
        <w:t>Kompozycja i styl</w:t>
      </w:r>
      <w:r w:rsidR="00BD3CF0">
        <w:t xml:space="preserve"> – </w:t>
      </w:r>
      <w:r w:rsidR="00BD3CF0" w:rsidRPr="00000987">
        <w:rPr>
          <w:b/>
        </w:rPr>
        <w:t>luźna kompozycja</w:t>
      </w:r>
      <w:r w:rsidR="00BD3CF0">
        <w:t xml:space="preserve">, każdy z rozdziałów stanowi odrębną historię </w:t>
      </w:r>
      <w:r w:rsidR="00000987">
        <w:t xml:space="preserve">                       </w:t>
      </w:r>
      <w:r w:rsidR="00BD3CF0">
        <w:t>z życia bohatera (</w:t>
      </w:r>
      <w:r w:rsidR="00BD3CF0" w:rsidRPr="00BD3CF0">
        <w:rPr>
          <w:i/>
        </w:rPr>
        <w:t>Witebsk</w:t>
      </w:r>
      <w:r w:rsidR="00415E63">
        <w:rPr>
          <w:i/>
        </w:rPr>
        <w:t xml:space="preserve"> – </w:t>
      </w:r>
      <w:r w:rsidR="00BD3CF0" w:rsidRPr="00BD3CF0">
        <w:rPr>
          <w:i/>
        </w:rPr>
        <w:t>Leningrad</w:t>
      </w:r>
      <w:r w:rsidR="00415E63">
        <w:rPr>
          <w:i/>
        </w:rPr>
        <w:t xml:space="preserve"> </w:t>
      </w:r>
      <w:r w:rsidR="00BD3CF0" w:rsidRPr="00BD3CF0">
        <w:rPr>
          <w:i/>
        </w:rPr>
        <w:t>-</w:t>
      </w:r>
      <w:r w:rsidR="00415E63">
        <w:rPr>
          <w:i/>
        </w:rPr>
        <w:t xml:space="preserve"> </w:t>
      </w:r>
      <w:r w:rsidR="00BD3CF0" w:rsidRPr="00BD3CF0">
        <w:rPr>
          <w:i/>
        </w:rPr>
        <w:t>Wołogda</w:t>
      </w:r>
      <w:r w:rsidR="00BD3CF0">
        <w:t xml:space="preserve">), innego więźnia (np. </w:t>
      </w:r>
      <w:r w:rsidR="00BD3CF0" w:rsidRPr="00BD3CF0">
        <w:rPr>
          <w:i/>
        </w:rPr>
        <w:t>Zabójca Stalina</w:t>
      </w:r>
      <w:r w:rsidR="00BD3CF0">
        <w:t xml:space="preserve">, </w:t>
      </w:r>
      <w:r w:rsidR="00BD3CF0" w:rsidRPr="00BD3CF0">
        <w:rPr>
          <w:i/>
        </w:rPr>
        <w:t>Ręka w ogniu</w:t>
      </w:r>
      <w:r w:rsidR="00BD3CF0">
        <w:t>) lub eseistyczną refleksję na temat elementu obozowej rzeczywistości (</w:t>
      </w:r>
      <w:r w:rsidR="00BD3CF0" w:rsidRPr="00BD3CF0">
        <w:rPr>
          <w:i/>
        </w:rPr>
        <w:t>Nocne łowy</w:t>
      </w:r>
      <w:r w:rsidR="00BD3CF0">
        <w:rPr>
          <w:i/>
        </w:rPr>
        <w:t xml:space="preserve">, Dom </w:t>
      </w:r>
      <w:proofErr w:type="spellStart"/>
      <w:r w:rsidR="00BD3CF0">
        <w:rPr>
          <w:i/>
        </w:rPr>
        <w:t>swidanij</w:t>
      </w:r>
      <w:proofErr w:type="spellEnd"/>
      <w:r w:rsidR="00BD3CF0">
        <w:rPr>
          <w:i/>
        </w:rPr>
        <w:t>, Głód</w:t>
      </w:r>
      <w:r w:rsidR="00BD3CF0">
        <w:t xml:space="preserve">). </w:t>
      </w:r>
      <w:r w:rsidR="00BD3CF0" w:rsidRPr="00000987">
        <w:rPr>
          <w:b/>
        </w:rPr>
        <w:t>Pierwszoosobowy narrator</w:t>
      </w:r>
      <w:r w:rsidR="00BD3CF0">
        <w:t xml:space="preserve"> jest tożsamy z autorem.</w:t>
      </w:r>
      <w:r w:rsidR="00000987">
        <w:t xml:space="preserve"> W utworze występują trzy rodzaje narracji: kronikarska (beznamiętny opis życia obozu), autorska (osobiste s</w:t>
      </w:r>
      <w:r w:rsidR="00415E63">
        <w:t>ą</w:t>
      </w:r>
      <w:r w:rsidR="00000987">
        <w:t>dy i opinie z perspektywy osoby dzielącej się doświadczeniem z czytelnikiem), refleksyjno – uogólniająca (refleksje o charakterze filozoficznym).</w:t>
      </w:r>
    </w:p>
    <w:p w:rsidR="00000987" w:rsidRDefault="00C34B81" w:rsidP="00E02173">
      <w:pPr>
        <w:jc w:val="both"/>
      </w:pPr>
      <w:r>
        <w:rPr>
          <w:b/>
        </w:rPr>
        <w:t xml:space="preserve">5. </w:t>
      </w:r>
      <w:r w:rsidR="00000987" w:rsidRPr="00000987">
        <w:rPr>
          <w:b/>
        </w:rPr>
        <w:t>Interpretacja tytułu</w:t>
      </w:r>
      <w:r w:rsidR="00000987">
        <w:t xml:space="preserve"> – Tytuł utworu G. Herlinga – Grudzińskiego nawiązuje do …</w:t>
      </w:r>
    </w:p>
    <w:p w:rsidR="00000987" w:rsidRDefault="00C34B81" w:rsidP="00E02173">
      <w:pPr>
        <w:jc w:val="both"/>
      </w:pPr>
      <w:r>
        <w:rPr>
          <w:b/>
        </w:rPr>
        <w:t xml:space="preserve">6. </w:t>
      </w:r>
      <w:r w:rsidR="00000987" w:rsidRPr="00000987">
        <w:rPr>
          <w:b/>
        </w:rPr>
        <w:t>Bohaterowie</w:t>
      </w:r>
      <w:r w:rsidR="00000987">
        <w:t xml:space="preserve"> – Gustaw, Michał </w:t>
      </w:r>
      <w:proofErr w:type="spellStart"/>
      <w:r w:rsidR="00000987">
        <w:t>Kostylew</w:t>
      </w:r>
      <w:proofErr w:type="spellEnd"/>
      <w:r w:rsidR="00000987">
        <w:t xml:space="preserve">, </w:t>
      </w:r>
      <w:proofErr w:type="spellStart"/>
      <w:r w:rsidR="00000987">
        <w:t>Pamfiłow</w:t>
      </w:r>
      <w:proofErr w:type="spellEnd"/>
      <w:r w:rsidR="00000987">
        <w:t xml:space="preserve">, </w:t>
      </w:r>
      <w:proofErr w:type="spellStart"/>
      <w:r w:rsidR="00000987">
        <w:t>Rusto</w:t>
      </w:r>
      <w:proofErr w:type="spellEnd"/>
      <w:r w:rsidR="00000987">
        <w:t xml:space="preserve"> </w:t>
      </w:r>
      <w:proofErr w:type="spellStart"/>
      <w:r w:rsidR="00000987">
        <w:t>Karinen</w:t>
      </w:r>
      <w:proofErr w:type="spellEnd"/>
      <w:r w:rsidR="00000987">
        <w:t xml:space="preserve">, </w:t>
      </w:r>
      <w:proofErr w:type="spellStart"/>
      <w:r w:rsidR="00000987">
        <w:t>Ntalia</w:t>
      </w:r>
      <w:proofErr w:type="spellEnd"/>
      <w:r w:rsidR="00000987">
        <w:t xml:space="preserve"> Lwowa, Sadowski, </w:t>
      </w:r>
      <w:proofErr w:type="spellStart"/>
      <w:r w:rsidR="00000987">
        <w:t>Gorcew</w:t>
      </w:r>
      <w:proofErr w:type="spellEnd"/>
      <w:r w:rsidR="00000987">
        <w:t>…</w:t>
      </w:r>
    </w:p>
    <w:p w:rsidR="00000987" w:rsidRDefault="00C34B81" w:rsidP="00E02173">
      <w:pPr>
        <w:jc w:val="both"/>
        <w:rPr>
          <w:b/>
        </w:rPr>
      </w:pPr>
      <w:r>
        <w:rPr>
          <w:b/>
        </w:rPr>
        <w:t xml:space="preserve">7. </w:t>
      </w:r>
      <w:r w:rsidR="00000987" w:rsidRPr="00000987">
        <w:rPr>
          <w:b/>
        </w:rPr>
        <w:t>Problematyka</w:t>
      </w:r>
      <w:r w:rsidR="00000987">
        <w:rPr>
          <w:b/>
        </w:rPr>
        <w:t>:</w:t>
      </w:r>
    </w:p>
    <w:p w:rsidR="00E62EF5" w:rsidRDefault="00000987" w:rsidP="00000987">
      <w:pPr>
        <w:pStyle w:val="Akapitzlist"/>
        <w:numPr>
          <w:ilvl w:val="0"/>
          <w:numId w:val="1"/>
        </w:numPr>
        <w:jc w:val="both"/>
      </w:pPr>
      <w:r w:rsidRPr="00000987">
        <w:rPr>
          <w:b/>
        </w:rPr>
        <w:t>Obraz życia w łagrze</w:t>
      </w:r>
      <w:r>
        <w:rPr>
          <w:b/>
        </w:rPr>
        <w:t xml:space="preserve">. </w:t>
      </w:r>
      <w:r>
        <w:t xml:space="preserve"> Powieść opisuje wiernie i szczegółowo obozową rzeczywistość</w:t>
      </w:r>
      <w:r w:rsidR="00E62EF5">
        <w:t xml:space="preserve">. Obóz jest przedstawiony w utworze jako miejsce odizolowane                        od normalnego świata, nieludzkie, w którym prawa i godność człowieka nie obowiązują. Więźniowie na skutek głodu, katorżniczej pracy na mrozie, psychicznych i fizycznych tortur dochodzą do granic wytrzymałości i upodlenia. Koniecznością staje się ciągła walka o przetrwanie. Wielu skazańców stara się przeżyć kosztem innych. Dla uzyskania drobnych korzyści są w stanie wyrządzić współtowarzyszom niedoli największe krzywdy. Donoszą, są obojętni i okrutni wobec słabszych, gwałcą, mordują, rabują. W obozie wśród więźniów panuje hierarchia. </w:t>
      </w:r>
    </w:p>
    <w:p w:rsidR="00000987" w:rsidRDefault="00E62EF5" w:rsidP="00000987">
      <w:pPr>
        <w:pStyle w:val="Akapitzlist"/>
        <w:numPr>
          <w:ilvl w:val="0"/>
          <w:numId w:val="1"/>
        </w:numPr>
        <w:jc w:val="both"/>
      </w:pPr>
      <w:r>
        <w:rPr>
          <w:b/>
        </w:rPr>
        <w:t>Oskarżenie sowieckiego totalitaryzmu.</w:t>
      </w:r>
      <w:r>
        <w:t xml:space="preserve"> Autor przedstawia </w:t>
      </w:r>
      <w:r w:rsidRPr="00E62EF5">
        <w:rPr>
          <w:b/>
        </w:rPr>
        <w:t>obóz pracy jako miniaturę państwa totalitarnego</w:t>
      </w:r>
      <w:r w:rsidR="00A426E1">
        <w:rPr>
          <w:b/>
        </w:rPr>
        <w:t xml:space="preserve"> - </w:t>
      </w:r>
      <w:r w:rsidR="00A426E1" w:rsidRPr="00A426E1">
        <w:t>takiego jak stalinowski Związek Radziecki.</w:t>
      </w:r>
      <w:r>
        <w:rPr>
          <w:b/>
        </w:rPr>
        <w:t xml:space="preserve"> </w:t>
      </w:r>
      <w:r>
        <w:t xml:space="preserve">Łagier jest „innym światem”, </w:t>
      </w:r>
      <w:proofErr w:type="spellStart"/>
      <w:r>
        <w:t>antycywilizacj</w:t>
      </w:r>
      <w:r w:rsidR="00A426E1">
        <w:t>ą</w:t>
      </w:r>
      <w:proofErr w:type="spellEnd"/>
      <w:r w:rsidR="00A426E1">
        <w:t>, rzeczywistością odwróconą, na opak - odzwierciedla zasady według których działa system totalitarny. Nie służy on wymierzaniu sprawiedliwości (procesy i wyroki stanowią narzędzie terroru, opiera się je na fałszywych zarzutach) ani „wychowaniu przez pracę” (łagry to sposób pozyskiwania darmowej</w:t>
      </w:r>
      <w:r w:rsidRPr="00E62EF5">
        <w:rPr>
          <w:b/>
        </w:rPr>
        <w:t xml:space="preserve"> </w:t>
      </w:r>
      <w:r w:rsidR="00A426E1" w:rsidRPr="00A426E1">
        <w:t xml:space="preserve">siły roboczej, a pracujących ponad siły więźniów </w:t>
      </w:r>
      <w:r w:rsidR="00A426E1" w:rsidRPr="00A426E1">
        <w:lastRenderedPageBreak/>
        <w:t>doprowadza się do śmierci z głodu i wyczerpania</w:t>
      </w:r>
      <w:r w:rsidR="00A426E1">
        <w:t>)</w:t>
      </w:r>
      <w:r w:rsidR="00415E63">
        <w:t>.</w:t>
      </w:r>
      <w:r w:rsidR="00A426E1">
        <w:t xml:space="preserve"> Celem jest zniszczenie osobowości człowieka i zastąpienie jej psychiką niewolnika – stworzenie człowieka sowieckiego (</w:t>
      </w:r>
      <w:r w:rsidR="00A426E1" w:rsidRPr="00A426E1">
        <w:rPr>
          <w:i/>
        </w:rPr>
        <w:t xml:space="preserve">homo </w:t>
      </w:r>
      <w:proofErr w:type="spellStart"/>
      <w:r w:rsidR="00A426E1" w:rsidRPr="00A426E1">
        <w:rPr>
          <w:i/>
        </w:rPr>
        <w:t>sowieticus</w:t>
      </w:r>
      <w:proofErr w:type="spellEnd"/>
      <w:r w:rsidR="00A426E1">
        <w:t xml:space="preserve">), który miał stać się posłusznym narzędziem w rękach komunistów. </w:t>
      </w:r>
    </w:p>
    <w:p w:rsidR="002D7B7D" w:rsidRPr="00A426E1" w:rsidRDefault="002D7B7D" w:rsidP="00415E63">
      <w:pPr>
        <w:pStyle w:val="Akapitzlist"/>
        <w:numPr>
          <w:ilvl w:val="0"/>
          <w:numId w:val="1"/>
        </w:numPr>
        <w:jc w:val="both"/>
      </w:pPr>
      <w:r w:rsidRPr="00415E63">
        <w:rPr>
          <w:b/>
        </w:rPr>
        <w:t>Człowiek w sytuacji nieludzkiej</w:t>
      </w:r>
      <w:r w:rsidR="001B31F9" w:rsidRPr="00415E63">
        <w:rPr>
          <w:b/>
        </w:rPr>
        <w:t xml:space="preserve">. </w:t>
      </w:r>
      <w:r w:rsidR="001B31F9">
        <w:t xml:space="preserve">G. Herling </w:t>
      </w:r>
      <w:r w:rsidR="00415E63">
        <w:t>-</w:t>
      </w:r>
      <w:r w:rsidR="001B31F9">
        <w:t xml:space="preserve"> Grudziński wyraża przekonanie, </w:t>
      </w:r>
      <w:r w:rsidR="00415E63">
        <w:t xml:space="preserve">                     </w:t>
      </w:r>
      <w:r w:rsidR="001B31F9">
        <w:t xml:space="preserve">że </w:t>
      </w:r>
      <w:r w:rsidR="001B31F9" w:rsidRPr="00415E63">
        <w:rPr>
          <w:u w:val="single"/>
        </w:rPr>
        <w:t>„człowiek jest ludzki w ludzkich warunkach”</w:t>
      </w:r>
      <w:r w:rsidR="001B31F9">
        <w:t xml:space="preserve"> i nie mają sensu „próby sądzenia go według uczynków, jakich dopuścił się w warunkach nieludzkich”. Obserwacje autora „Innego świata” </w:t>
      </w:r>
      <w:r w:rsidR="004702F8">
        <w:t xml:space="preserve">są zbieżne z tymi, które czyni Tadeusz Borowski                                   w opowiadaniach o obozie Auschwitz - głodem, przemocą, brakiem nadziei, pracą ponad siły można zmusić człowieka do odrzucenia wszelkich wartości i zasad, które obowiązują w społeczeństwie na wolności. Więźniowie łagru nie odczuwają współczucia i litości dla słabszych. W obozie następuje całkowity rozpad stosunków międzyludzkich, a kontakty między skazańcami ograniczają się głównie </w:t>
      </w:r>
      <w:r w:rsidR="006918D7">
        <w:t xml:space="preserve">                                </w:t>
      </w:r>
      <w:r w:rsidR="004702F8">
        <w:t>do pozyskiwania informacji, które można potem wykorzystać w donosach. Z czasem współwięźniowie stają się przedmiotem nienawiści, pogardy i obrzydzenia.</w:t>
      </w:r>
      <w:r w:rsidR="00415E63">
        <w:t xml:space="preserve"> </w:t>
      </w:r>
      <w:r w:rsidR="004702F8">
        <w:t>Ci, którzy poddali się pełnemu zniewoleniu, odczuwają bolesną pustkę, odrazę do siebie samych. Są jednak</w:t>
      </w:r>
      <w:r w:rsidR="00415E63">
        <w:t xml:space="preserve"> </w:t>
      </w:r>
      <w:r w:rsidR="004702F8">
        <w:t>i tacy więźniowie</w:t>
      </w:r>
      <w:r w:rsidR="006918D7">
        <w:t>, którzy podejmują heroiczną walkę o zachowanie człowieczeństwa</w:t>
      </w:r>
      <w:r w:rsidR="00415E63">
        <w:t xml:space="preserve"> </w:t>
      </w:r>
      <w:r w:rsidR="006918D7">
        <w:t xml:space="preserve">i ludzkiej godności (np. </w:t>
      </w:r>
      <w:proofErr w:type="spellStart"/>
      <w:r w:rsidR="006918D7">
        <w:t>Kostylew</w:t>
      </w:r>
      <w:proofErr w:type="spellEnd"/>
      <w:r w:rsidR="006918D7">
        <w:t xml:space="preserve">, węgierskie zakonnice, uczestnicy głodówki). Pisarz dał tym samym wyraz, że narzuconej przez komunistyczny system „moralności’ nie można zaakceptować. </w:t>
      </w:r>
      <w:r w:rsidR="006918D7" w:rsidRPr="00415E63">
        <w:rPr>
          <w:u w:val="single"/>
        </w:rPr>
        <w:t>W Epilogu zawarte jest humanistyczne</w:t>
      </w:r>
      <w:r w:rsidR="006918D7">
        <w:t xml:space="preserve"> </w:t>
      </w:r>
      <w:r w:rsidR="006918D7" w:rsidRPr="00415E63">
        <w:rPr>
          <w:u w:val="single"/>
        </w:rPr>
        <w:t>przesłanie, że żadne okoliczności nie usprawiedliwiają nieetycznych zachowań człowieka.</w:t>
      </w:r>
      <w:r w:rsidR="006918D7">
        <w:t xml:space="preserve"> Dzięki ukształtowaniu fabuły oraz końcowej scenie powieść nabiera charakteru uniwersalnej </w:t>
      </w:r>
      <w:r w:rsidR="006918D7" w:rsidRPr="00415E63">
        <w:rPr>
          <w:u w:val="single"/>
        </w:rPr>
        <w:t>przestrogi przed relatywizowaniem norm etycznych</w:t>
      </w:r>
      <w:r w:rsidR="006918D7">
        <w:t>.</w:t>
      </w:r>
    </w:p>
    <w:p w:rsidR="00514C2B" w:rsidRDefault="00514C2B" w:rsidP="00514C2B">
      <w:pPr>
        <w:pStyle w:val="Akapitzlist"/>
        <w:rPr>
          <w:b/>
        </w:rPr>
      </w:pPr>
    </w:p>
    <w:p w:rsidR="00514C2B" w:rsidRDefault="00514C2B" w:rsidP="00514C2B">
      <w:pPr>
        <w:pStyle w:val="Akapitzlist"/>
        <w:rPr>
          <w:b/>
        </w:rPr>
      </w:pPr>
    </w:p>
    <w:p w:rsidR="00514C2B" w:rsidRPr="00C34B81" w:rsidRDefault="00514C2B" w:rsidP="00514C2B">
      <w:pPr>
        <w:pStyle w:val="Akapitzlist"/>
      </w:pPr>
      <w:r w:rsidRPr="00514C2B">
        <w:rPr>
          <w:b/>
        </w:rPr>
        <w:t xml:space="preserve">Totalitaryzm </w:t>
      </w:r>
      <w:r>
        <w:t>– „Permanentna dominacja nad każdą pojedynczą jednostką we wszystkich sferach życia i każdej z osobna.”</w:t>
      </w:r>
      <w:r w:rsidRPr="007754D0">
        <w:t xml:space="preserve"> </w:t>
      </w:r>
      <w:r>
        <w:t>(Hannah Arendt)</w:t>
      </w:r>
    </w:p>
    <w:p w:rsidR="00E02173" w:rsidRDefault="00E02173"/>
    <w:p w:rsidR="00415E63" w:rsidRDefault="00415E63"/>
    <w:p w:rsidR="00415E63" w:rsidRDefault="00415E63" w:rsidP="00415E63">
      <w:pPr>
        <w:jc w:val="center"/>
        <w:rPr>
          <w:b/>
        </w:rPr>
      </w:pPr>
      <w:r w:rsidRPr="00415E63">
        <w:rPr>
          <w:b/>
        </w:rPr>
        <w:t>Problematyka moralna wiersza T. Różewicza „Ocalony”</w:t>
      </w:r>
    </w:p>
    <w:p w:rsidR="00415E63" w:rsidRPr="00A426E1" w:rsidRDefault="00415E63" w:rsidP="00C34B81">
      <w:pPr>
        <w:jc w:val="both"/>
      </w:pPr>
      <w:r>
        <w:t xml:space="preserve">Bohaterem lirycznym jest człowiek, który ocalał z wojny, nazywanej „rzezią”. Poeta ukazuje </w:t>
      </w:r>
      <w:r w:rsidR="00AE7031">
        <w:t xml:space="preserve">traumatyczne </w:t>
      </w:r>
      <w:r>
        <w:t>doświadczenia przedstawiciela pokolenia Kolumbów, który ocalał tylko fizycznie, ale zachwiana została jego psychika. Ut</w:t>
      </w:r>
      <w:r w:rsidR="00AE7031">
        <w:t>r</w:t>
      </w:r>
      <w:r>
        <w:t xml:space="preserve">acił wiarę w człowieka i system norm moralnych. Autor gromadzi pojęcia z zakresu etyki, dotychczas traktowane jako przeciwstawne i łączy je spójnikiem „i”, traktując jako jednoznaczne. Wojna zatarła granicę między dobrem a złem. </w:t>
      </w:r>
      <w:r w:rsidR="00AE7031">
        <w:t>Podmiot liryczny stracił zaufanie do pojęć etycznych. Zostały tylko słowa, które nic nie znaczą. Tęskni za ładem moralnym. Szuka nauczyciela i mistrza (odwołanie do Ewangelii, do Chrystusa), który pozwoli odbudować wartości, stworzy świat od nowa. Dramatycznie poszukuje sensu życia. Wyrazem zniszczenia ludzkiej psychiki jest język wiersza. Doświadczenie katastrofy artysta oddaje za pomocą najprostszych słów, rezygnuje ze środków stylistycznych. Stosuje poetykę ascezy.</w:t>
      </w:r>
    </w:p>
    <w:sectPr w:rsidR="00415E63" w:rsidRPr="00A426E1" w:rsidSect="002C0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62C7"/>
    <w:multiLevelType w:val="hybridMultilevel"/>
    <w:tmpl w:val="951E4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0711E9"/>
    <w:multiLevelType w:val="hybridMultilevel"/>
    <w:tmpl w:val="397A45AA"/>
    <w:lvl w:ilvl="0" w:tplc="2BA22C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2173"/>
    <w:rsid w:val="00000987"/>
    <w:rsid w:val="001B31F9"/>
    <w:rsid w:val="002C04EB"/>
    <w:rsid w:val="002D7B7D"/>
    <w:rsid w:val="00415E63"/>
    <w:rsid w:val="004702F8"/>
    <w:rsid w:val="00514C2B"/>
    <w:rsid w:val="006918D7"/>
    <w:rsid w:val="007754D0"/>
    <w:rsid w:val="00A426E1"/>
    <w:rsid w:val="00A82F50"/>
    <w:rsid w:val="00AE7031"/>
    <w:rsid w:val="00BD3CF0"/>
    <w:rsid w:val="00C34B81"/>
    <w:rsid w:val="00DB6915"/>
    <w:rsid w:val="00E02173"/>
    <w:rsid w:val="00E62E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4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09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1026</Words>
  <Characters>6160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COOL</cp:lastModifiedBy>
  <cp:revision>7</cp:revision>
  <dcterms:created xsi:type="dcterms:W3CDTF">2020-03-25T15:35:00Z</dcterms:created>
  <dcterms:modified xsi:type="dcterms:W3CDTF">2020-03-25T17:57:00Z</dcterms:modified>
</cp:coreProperties>
</file>