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C63" w:rsidRPr="00AB7624" w:rsidRDefault="00EF1C63" w:rsidP="00EF1C63">
      <w:pPr>
        <w:pStyle w:val="Akapitzlist"/>
        <w:rPr>
          <w:rFonts w:ascii="Times New Roman" w:hAnsi="Times New Roman" w:cs="Times New Roman"/>
          <w:i/>
          <w:sz w:val="24"/>
          <w:szCs w:val="24"/>
        </w:rPr>
      </w:pPr>
      <w:r w:rsidRPr="00AB7624">
        <w:rPr>
          <w:rFonts w:ascii="Times New Roman" w:hAnsi="Times New Roman" w:cs="Times New Roman"/>
          <w:i/>
          <w:sz w:val="24"/>
          <w:szCs w:val="24"/>
        </w:rPr>
        <w:t xml:space="preserve">Szanowni Państwo,  Słuchacze semestru  </w:t>
      </w:r>
      <w:r w:rsidRPr="00AB7624">
        <w:rPr>
          <w:rFonts w:ascii="Times New Roman" w:hAnsi="Times New Roman" w:cs="Times New Roman"/>
          <w:b/>
          <w:i/>
          <w:sz w:val="24"/>
          <w:szCs w:val="24"/>
        </w:rPr>
        <w:t>I</w:t>
      </w:r>
      <w:r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AB7624">
        <w:rPr>
          <w:rFonts w:ascii="Times New Roman" w:hAnsi="Times New Roman" w:cs="Times New Roman"/>
          <w:b/>
          <w:i/>
          <w:sz w:val="24"/>
          <w:szCs w:val="24"/>
        </w:rPr>
        <w:t xml:space="preserve"> LO</w:t>
      </w: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Dzień dobry,</w:t>
      </w:r>
    </w:p>
    <w:p w:rsidR="00EF1C63" w:rsidRPr="00AB7624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Drodzy słuchacze,</w:t>
      </w: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Podaję Państwu temat</w:t>
      </w:r>
      <w:r>
        <w:rPr>
          <w:rFonts w:ascii="Times New Roman" w:hAnsi="Times New Roman" w:cs="Times New Roman"/>
          <w:sz w:val="24"/>
          <w:szCs w:val="24"/>
        </w:rPr>
        <w:t>y z matematyki zaplanowane na 13, 14.02.2021</w:t>
      </w:r>
      <w:r>
        <w:rPr>
          <w:rFonts w:ascii="Times New Roman" w:hAnsi="Times New Roman" w:cs="Times New Roman"/>
          <w:sz w:val="24"/>
          <w:szCs w:val="24"/>
        </w:rPr>
        <w:t>r.</w:t>
      </w:r>
    </w:p>
    <w:p w:rsidR="00EF1C63" w:rsidRPr="00AB7624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F1C63" w:rsidRPr="008B2202" w:rsidRDefault="00EF1C63" w:rsidP="00EF1C6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B2202">
        <w:rPr>
          <w:rFonts w:ascii="Times New Roman" w:hAnsi="Times New Roman" w:cs="Times New Roman"/>
          <w:b/>
          <w:sz w:val="24"/>
          <w:szCs w:val="24"/>
        </w:rPr>
        <w:t>Trójkąty przystające, trójkąty podobne.</w:t>
      </w: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Temat, przykłady i ćwiczenia w podręczniku str. 250-256</w:t>
      </w: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Kiedy trójkąty są przystające? Cechy </w:t>
      </w:r>
      <w:proofErr w:type="spellStart"/>
      <w:r>
        <w:rPr>
          <w:rFonts w:ascii="Times New Roman" w:hAnsi="Times New Roman" w:cs="Times New Roman"/>
          <w:sz w:val="24"/>
          <w:szCs w:val="24"/>
        </w:rPr>
        <w:t>bbb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bkb</w:t>
      </w:r>
      <w:proofErr w:type="spellEnd"/>
      <w:r>
        <w:rPr>
          <w:rFonts w:ascii="Times New Roman" w:hAnsi="Times New Roman" w:cs="Times New Roman"/>
          <w:sz w:val="24"/>
          <w:szCs w:val="24"/>
        </w:rPr>
        <w:t>, kbk.</w:t>
      </w:r>
    </w:p>
    <w:p w:rsidR="00EF1C63" w:rsidRPr="00881EF5" w:rsidRDefault="00EF1C63" w:rsidP="00EF1C63">
      <w:pPr>
        <w:pStyle w:val="Akapitzlist"/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</w:pPr>
      <w:r w:rsidRPr="00881EF5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 xml:space="preserve">Cecha </w:t>
      </w:r>
      <w:proofErr w:type="spellStart"/>
      <w:r w:rsidRPr="00881EF5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bbb</w:t>
      </w:r>
      <w:proofErr w:type="spellEnd"/>
    </w:p>
    <w:p w:rsidR="00EF1C63" w:rsidRPr="00881EF5" w:rsidRDefault="00EF1C63" w:rsidP="00EF1C63">
      <w:pPr>
        <w:pStyle w:val="Akapitzlist"/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</w:pPr>
      <w:r w:rsidRPr="00881EF5">
        <w:rPr>
          <w:rFonts w:ascii="Times New Roman" w:hAnsi="Times New Roman" w:cs="Times New Roman"/>
          <w:b/>
          <w:color w:val="538135" w:themeColor="accent6" w:themeShade="BF"/>
          <w:sz w:val="24"/>
          <w:szCs w:val="24"/>
        </w:rPr>
        <w:t>Jeśli trzy boki jednego trójkąta są odpowiednio równe trzem bokom drugiego trójkąta, to te trójkąty są przystające.</w:t>
      </w:r>
    </w:p>
    <w:p w:rsidR="00EF1C63" w:rsidRPr="00881EF5" w:rsidRDefault="00EF1C63" w:rsidP="00EF1C63">
      <w:pPr>
        <w:pStyle w:val="Akapitzlist"/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</w:pPr>
      <w:r w:rsidRPr="00881EF5"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  <w:t xml:space="preserve">Cecha </w:t>
      </w:r>
      <w:proofErr w:type="spellStart"/>
      <w:r w:rsidRPr="00881EF5"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  <w:t>bkb</w:t>
      </w:r>
      <w:proofErr w:type="spellEnd"/>
    </w:p>
    <w:p w:rsidR="00EF1C63" w:rsidRDefault="00EF1C63" w:rsidP="00EF1C63">
      <w:pPr>
        <w:pStyle w:val="Akapitzlist"/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</w:pPr>
      <w:proofErr w:type="spellStart"/>
      <w:r w:rsidRPr="00881EF5"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  <w:t>Jeśłi</w:t>
      </w:r>
      <w:proofErr w:type="spellEnd"/>
      <w:r w:rsidRPr="00881EF5"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  <w:t xml:space="preserve"> dwa boki  i kąt zawarty między nimi w jednym trójkącie są odpowiednio równe dwóm bokom i kątowi zawartemu między nimi w drugim trójkącie, to te trójkąty są przystające.</w:t>
      </w:r>
    </w:p>
    <w:p w:rsidR="00EF1C63" w:rsidRPr="00881EF5" w:rsidRDefault="00EF1C63" w:rsidP="00EF1C63">
      <w:pPr>
        <w:pStyle w:val="Akapitzlist"/>
        <w:rPr>
          <w:rFonts w:ascii="Times New Roman" w:hAnsi="Times New Roman" w:cs="Times New Roman"/>
          <w:b/>
          <w:color w:val="833C0B" w:themeColor="accent2" w:themeShade="80"/>
          <w:sz w:val="24"/>
          <w:szCs w:val="24"/>
        </w:rPr>
      </w:pPr>
      <w:r w:rsidRPr="00881EF5">
        <w:rPr>
          <w:rFonts w:ascii="Times New Roman" w:hAnsi="Times New Roman" w:cs="Times New Roman"/>
          <w:b/>
          <w:color w:val="833C0B" w:themeColor="accent2" w:themeShade="80"/>
          <w:sz w:val="24"/>
          <w:szCs w:val="24"/>
        </w:rPr>
        <w:t>Cecha kbk</w:t>
      </w:r>
    </w:p>
    <w:p w:rsidR="00EF1C63" w:rsidRDefault="00EF1C63" w:rsidP="00EF1C63">
      <w:pPr>
        <w:pStyle w:val="Akapitzlist"/>
        <w:rPr>
          <w:rFonts w:ascii="Times New Roman" w:hAnsi="Times New Roman" w:cs="Times New Roman"/>
          <w:b/>
          <w:color w:val="833C0B" w:themeColor="accent2" w:themeShade="80"/>
          <w:sz w:val="24"/>
          <w:szCs w:val="24"/>
        </w:rPr>
      </w:pPr>
      <w:r w:rsidRPr="00881EF5">
        <w:rPr>
          <w:rFonts w:ascii="Times New Roman" w:hAnsi="Times New Roman" w:cs="Times New Roman"/>
          <w:b/>
          <w:color w:val="833C0B" w:themeColor="accent2" w:themeShade="80"/>
          <w:sz w:val="24"/>
          <w:szCs w:val="24"/>
        </w:rPr>
        <w:t>Jeśli bok i dwa leżące przy nim kąty w jednym trójkącie są odpowiednio równe bokowi i dwóm leżącym przy nim kątom w drugim trójkącie, to trójkąty te są przystające.</w:t>
      </w:r>
    </w:p>
    <w:p w:rsidR="00EF1C63" w:rsidRDefault="00EF1C63" w:rsidP="00EF1C63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odcinków długości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a,b,c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można zbudować trójkąt tylko wtedy, gdy: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a+b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&gt;c gdzie c jest długością najdłuższego odcinka.</w:t>
      </w:r>
    </w:p>
    <w:p w:rsidR="00EF1C63" w:rsidRPr="00881EF5" w:rsidRDefault="00EF1C63" w:rsidP="00EF1C63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Kiedy trójkąty są podobne? Cechy </w:t>
      </w:r>
      <w:proofErr w:type="spellStart"/>
      <w:r>
        <w:rPr>
          <w:rFonts w:ascii="Times New Roman" w:hAnsi="Times New Roman" w:cs="Times New Roman"/>
          <w:sz w:val="24"/>
          <w:szCs w:val="24"/>
        </w:rPr>
        <w:t>bbb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kkk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bkb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F1C63" w:rsidRPr="006B7E30" w:rsidRDefault="00EF1C63" w:rsidP="00EF1C63">
      <w:pPr>
        <w:pStyle w:val="Akapitzlist"/>
        <w:rPr>
          <w:rFonts w:ascii="Times New Roman" w:hAnsi="Times New Roman" w:cs="Times New Roman"/>
          <w:color w:val="385623" w:themeColor="accent6" w:themeShade="80"/>
          <w:sz w:val="24"/>
          <w:szCs w:val="24"/>
        </w:rPr>
      </w:pPr>
      <w:r w:rsidRPr="006B7E30">
        <w:rPr>
          <w:rFonts w:ascii="Times New Roman" w:hAnsi="Times New Roman" w:cs="Times New Roman"/>
          <w:color w:val="385623" w:themeColor="accent6" w:themeShade="80"/>
          <w:sz w:val="24"/>
          <w:szCs w:val="24"/>
        </w:rPr>
        <w:t xml:space="preserve">Cecha </w:t>
      </w:r>
      <w:proofErr w:type="spellStart"/>
      <w:r w:rsidRPr="006B7E30">
        <w:rPr>
          <w:rFonts w:ascii="Times New Roman" w:hAnsi="Times New Roman" w:cs="Times New Roman"/>
          <w:color w:val="385623" w:themeColor="accent6" w:themeShade="80"/>
          <w:sz w:val="24"/>
          <w:szCs w:val="24"/>
        </w:rPr>
        <w:t>bbb</w:t>
      </w:r>
      <w:proofErr w:type="spellEnd"/>
    </w:p>
    <w:p w:rsidR="00EF1C63" w:rsidRDefault="00EF1C63" w:rsidP="00EF1C63">
      <w:pPr>
        <w:pStyle w:val="Akapitzlist"/>
        <w:rPr>
          <w:rFonts w:ascii="Times New Roman" w:hAnsi="Times New Roman" w:cs="Times New Roman"/>
          <w:color w:val="385623" w:themeColor="accent6" w:themeShade="80"/>
          <w:sz w:val="24"/>
          <w:szCs w:val="24"/>
        </w:rPr>
      </w:pPr>
      <w:r w:rsidRPr="006B7E30">
        <w:rPr>
          <w:rFonts w:ascii="Times New Roman" w:hAnsi="Times New Roman" w:cs="Times New Roman"/>
          <w:color w:val="385623" w:themeColor="accent6" w:themeShade="80"/>
          <w:sz w:val="24"/>
          <w:szCs w:val="24"/>
        </w:rPr>
        <w:t>Jeśli trzy boki jednego trójkąta są odpowiednio proporcjonalne do trzech boków drugiego trójkąta, to trójkąty są podobne.</w:t>
      </w:r>
    </w:p>
    <w:p w:rsidR="00EF1C63" w:rsidRPr="006B7E30" w:rsidRDefault="00EF1C63" w:rsidP="00EF1C63">
      <w:pPr>
        <w:pStyle w:val="Akapitzlist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  <w:r w:rsidRPr="006B7E3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 xml:space="preserve">Cecha </w:t>
      </w:r>
      <w:proofErr w:type="spellStart"/>
      <w:r w:rsidRPr="006B7E3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kkk</w:t>
      </w:r>
      <w:proofErr w:type="spellEnd"/>
    </w:p>
    <w:p w:rsidR="00EF1C63" w:rsidRDefault="00EF1C63" w:rsidP="00EF1C63">
      <w:pPr>
        <w:pStyle w:val="Akapitzlist"/>
        <w:rPr>
          <w:rFonts w:ascii="Times New Roman" w:hAnsi="Times New Roman" w:cs="Times New Roman"/>
          <w:color w:val="2E74B5" w:themeColor="accent1" w:themeShade="BF"/>
          <w:sz w:val="24"/>
          <w:szCs w:val="24"/>
        </w:rPr>
      </w:pPr>
      <w:proofErr w:type="spellStart"/>
      <w:r w:rsidRPr="006B7E3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>Jeśłi</w:t>
      </w:r>
      <w:proofErr w:type="spellEnd"/>
      <w:r w:rsidRPr="006B7E30">
        <w:rPr>
          <w:rFonts w:ascii="Times New Roman" w:hAnsi="Times New Roman" w:cs="Times New Roman"/>
          <w:color w:val="2E74B5" w:themeColor="accent1" w:themeShade="BF"/>
          <w:sz w:val="24"/>
          <w:szCs w:val="24"/>
        </w:rPr>
        <w:t xml:space="preserve"> kąty jednego trójkąta są równe kątom drugiego trójkąta, to trójkąty te są podobne.</w:t>
      </w:r>
    </w:p>
    <w:p w:rsidR="00EF1C63" w:rsidRPr="006B7E30" w:rsidRDefault="00EF1C63" w:rsidP="00EF1C63">
      <w:pPr>
        <w:pStyle w:val="Akapitzlist"/>
        <w:rPr>
          <w:rFonts w:ascii="Times New Roman" w:hAnsi="Times New Roman" w:cs="Times New Roman"/>
          <w:color w:val="833C0B" w:themeColor="accent2" w:themeShade="80"/>
          <w:sz w:val="24"/>
          <w:szCs w:val="24"/>
        </w:rPr>
      </w:pPr>
      <w:r w:rsidRPr="006B7E30">
        <w:rPr>
          <w:rFonts w:ascii="Times New Roman" w:hAnsi="Times New Roman" w:cs="Times New Roman"/>
          <w:color w:val="833C0B" w:themeColor="accent2" w:themeShade="80"/>
          <w:sz w:val="24"/>
          <w:szCs w:val="24"/>
        </w:rPr>
        <w:t xml:space="preserve">Cecha </w:t>
      </w:r>
      <w:proofErr w:type="spellStart"/>
      <w:r w:rsidRPr="006B7E30">
        <w:rPr>
          <w:rFonts w:ascii="Times New Roman" w:hAnsi="Times New Roman" w:cs="Times New Roman"/>
          <w:color w:val="833C0B" w:themeColor="accent2" w:themeShade="80"/>
          <w:sz w:val="24"/>
          <w:szCs w:val="24"/>
        </w:rPr>
        <w:t>bkb</w:t>
      </w:r>
      <w:proofErr w:type="spellEnd"/>
    </w:p>
    <w:p w:rsidR="00EF1C63" w:rsidRDefault="00EF1C63" w:rsidP="00EF1C63">
      <w:pPr>
        <w:pStyle w:val="Akapitzlist"/>
        <w:rPr>
          <w:rFonts w:ascii="Times New Roman" w:hAnsi="Times New Roman" w:cs="Times New Roman"/>
          <w:color w:val="833C0B" w:themeColor="accent2" w:themeShade="80"/>
          <w:sz w:val="24"/>
          <w:szCs w:val="24"/>
        </w:rPr>
      </w:pPr>
      <w:r w:rsidRPr="006B7E30">
        <w:rPr>
          <w:rFonts w:ascii="Times New Roman" w:hAnsi="Times New Roman" w:cs="Times New Roman"/>
          <w:color w:val="833C0B" w:themeColor="accent2" w:themeShade="80"/>
          <w:sz w:val="24"/>
          <w:szCs w:val="24"/>
        </w:rPr>
        <w:t>Jeśli dwa boki jednego trójkąta są proporcjonalne do dwóch boków drugiego trójkąta i kąty zawarte między tymi bokami są równe, to trójkąty te są podobne.</w:t>
      </w:r>
    </w:p>
    <w:p w:rsidR="00EF1C63" w:rsidRDefault="00EF1C63" w:rsidP="00EF1C63">
      <w:pPr>
        <w:pStyle w:val="Akapitzlist"/>
        <w:rPr>
          <w:rFonts w:ascii="Times New Roman" w:hAnsi="Times New Roman" w:cs="Times New Roman"/>
          <w:color w:val="833C0B" w:themeColor="accent2" w:themeShade="80"/>
          <w:sz w:val="24"/>
          <w:szCs w:val="24"/>
        </w:rPr>
      </w:pPr>
    </w:p>
    <w:p w:rsidR="00EF1C63" w:rsidRPr="006B7E30" w:rsidRDefault="00EF1C63" w:rsidP="00EF1C63">
      <w:pPr>
        <w:pStyle w:val="Akapitzlist"/>
        <w:rPr>
          <w:rFonts w:ascii="Times New Roman" w:hAnsi="Times New Roman" w:cs="Times New Roman"/>
          <w:color w:val="C00000"/>
          <w:sz w:val="24"/>
          <w:szCs w:val="24"/>
        </w:rPr>
      </w:pPr>
      <w:r w:rsidRPr="006B7E30">
        <w:rPr>
          <w:rFonts w:ascii="Times New Roman" w:hAnsi="Times New Roman" w:cs="Times New Roman"/>
          <w:color w:val="C00000"/>
          <w:sz w:val="24"/>
          <w:szCs w:val="24"/>
        </w:rPr>
        <w:t>Stosunek długości odpowiednich boków trójkątów podobnych nazywamy skalą podobieństwa.</w:t>
      </w:r>
    </w:p>
    <w:p w:rsidR="00EF1C63" w:rsidRPr="006B7E30" w:rsidRDefault="00EF1C63" w:rsidP="00EF1C63">
      <w:pPr>
        <w:pStyle w:val="Akapitzlist"/>
        <w:rPr>
          <w:rFonts w:ascii="Times New Roman" w:hAnsi="Times New Roman" w:cs="Times New Roman"/>
          <w:color w:val="833C0B" w:themeColor="accent2" w:themeShade="80"/>
          <w:sz w:val="24"/>
          <w:szCs w:val="24"/>
        </w:rPr>
      </w:pP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i poćwicz  rysowanie.</w:t>
      </w: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F1C63" w:rsidRPr="00EF1C63" w:rsidRDefault="00EF1C63" w:rsidP="00EF1C6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F1C63">
        <w:rPr>
          <w:rFonts w:ascii="Times New Roman" w:hAnsi="Times New Roman" w:cs="Times New Roman"/>
          <w:b/>
          <w:sz w:val="24"/>
          <w:szCs w:val="24"/>
        </w:rPr>
        <w:lastRenderedPageBreak/>
        <w:t>Twierdzenie Talesa.</w:t>
      </w: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 w podręczniku </w:t>
      </w:r>
      <w:proofErr w:type="spellStart"/>
      <w:r>
        <w:rPr>
          <w:rFonts w:ascii="Times New Roman" w:hAnsi="Times New Roman" w:cs="Times New Roman"/>
          <w:sz w:val="24"/>
          <w:szCs w:val="24"/>
        </w:rPr>
        <w:t>MATeMAtyk</w:t>
      </w:r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dla szkół ponadpodstawowych wyd. Nowa Era.</w:t>
      </w: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Zapoznaj się i przeanalizuj twierdzenie Talesa i twierdzenie odwrotne do twierdzenia Talesa.</w:t>
      </w: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Wykonaj dokładny rysunek obrazujący twierdzenie oraz zapisz</w:t>
      </w:r>
      <w:r>
        <w:rPr>
          <w:rFonts w:ascii="Times New Roman" w:hAnsi="Times New Roman" w:cs="Times New Roman"/>
          <w:sz w:val="24"/>
          <w:szCs w:val="24"/>
        </w:rPr>
        <w:t xml:space="preserve"> równości. </w:t>
      </w: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Wykonaj zadanie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>
        <w:rPr>
          <w:rFonts w:ascii="Times New Roman" w:hAnsi="Times New Roman" w:cs="Times New Roman"/>
          <w:sz w:val="24"/>
          <w:szCs w:val="24"/>
        </w:rPr>
        <w:t>(obliczenie wysokości piramidy Cheopsa z wykorzystaniem twierdzenia Talesa).</w:t>
      </w:r>
    </w:p>
    <w:p w:rsidR="005320F6" w:rsidRDefault="005320F6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320F6" w:rsidRPr="008B2202" w:rsidRDefault="005320F6" w:rsidP="005320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B2202">
        <w:rPr>
          <w:rFonts w:ascii="Times New Roman" w:hAnsi="Times New Roman" w:cs="Times New Roman"/>
          <w:b/>
          <w:sz w:val="24"/>
          <w:szCs w:val="24"/>
        </w:rPr>
        <w:t>Trójką</w:t>
      </w:r>
      <w:r>
        <w:rPr>
          <w:rFonts w:ascii="Times New Roman" w:hAnsi="Times New Roman" w:cs="Times New Roman"/>
          <w:b/>
          <w:sz w:val="24"/>
          <w:szCs w:val="24"/>
        </w:rPr>
        <w:t>ty prostokątne</w:t>
      </w:r>
      <w:r w:rsidRPr="008B220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Twierdzenie Pitagorasa.</w:t>
      </w:r>
    </w:p>
    <w:p w:rsidR="005320F6" w:rsidRDefault="005320F6" w:rsidP="005320F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Temat i ćwiczenia w podręczniku str. 266 – 270</w:t>
      </w:r>
    </w:p>
    <w:p w:rsidR="005320F6" w:rsidRDefault="005320F6" w:rsidP="005320F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Zapoznaj się i przeanalizuj </w:t>
      </w:r>
      <w:r w:rsidRPr="00020FA7">
        <w:rPr>
          <w:rFonts w:ascii="Times New Roman" w:hAnsi="Times New Roman" w:cs="Times New Roman"/>
          <w:b/>
          <w:sz w:val="24"/>
          <w:szCs w:val="24"/>
        </w:rPr>
        <w:t>twierdzenie Pitagorasa (a</w:t>
      </w:r>
      <w:r w:rsidRPr="00020FA7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020FA7">
        <w:rPr>
          <w:rFonts w:ascii="Times New Roman" w:hAnsi="Times New Roman" w:cs="Times New Roman"/>
          <w:b/>
          <w:sz w:val="24"/>
          <w:szCs w:val="24"/>
        </w:rPr>
        <w:t>+b</w:t>
      </w:r>
      <w:r w:rsidRPr="00020FA7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020FA7">
        <w:rPr>
          <w:rFonts w:ascii="Times New Roman" w:hAnsi="Times New Roman" w:cs="Times New Roman"/>
          <w:b/>
          <w:sz w:val="24"/>
          <w:szCs w:val="24"/>
        </w:rPr>
        <w:t>=c</w:t>
      </w:r>
      <w:r w:rsidRPr="00020FA7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020FA7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 wykonaj rysunek, zapoznaj się z twierdzeniem odwrotnym do twierdzenia Pitagorasa. Wykonaj ćwiczenia ze str.266 i 267</w:t>
      </w:r>
    </w:p>
    <w:p w:rsidR="005320F6" w:rsidRDefault="005320F6" w:rsidP="005320F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320F6" w:rsidRPr="005320F6" w:rsidRDefault="005320F6" w:rsidP="005320F6">
      <w:pPr>
        <w:pStyle w:val="Akapitzlist"/>
        <w:rPr>
          <w:rFonts w:ascii="Times New Roman" w:hAnsi="Times New Roman" w:cs="Times New Roman"/>
          <w:color w:val="C00000"/>
          <w:sz w:val="24"/>
          <w:szCs w:val="24"/>
          <w:u w:val="single"/>
        </w:rPr>
      </w:pPr>
      <w:r w:rsidRPr="005320F6">
        <w:rPr>
          <w:rFonts w:ascii="Times New Roman" w:hAnsi="Times New Roman" w:cs="Times New Roman"/>
          <w:color w:val="C00000"/>
          <w:sz w:val="24"/>
          <w:szCs w:val="24"/>
          <w:u w:val="single"/>
        </w:rPr>
        <w:t>Twierdzenie Pitagorasa</w:t>
      </w:r>
    </w:p>
    <w:p w:rsidR="005320F6" w:rsidRPr="005320F6" w:rsidRDefault="005320F6" w:rsidP="005320F6">
      <w:pPr>
        <w:pStyle w:val="Akapitzlist"/>
        <w:rPr>
          <w:rFonts w:ascii="Times New Roman" w:hAnsi="Times New Roman" w:cs="Times New Roman"/>
          <w:color w:val="C00000"/>
          <w:sz w:val="24"/>
          <w:szCs w:val="24"/>
        </w:rPr>
      </w:pPr>
    </w:p>
    <w:p w:rsidR="005320F6" w:rsidRPr="005320F6" w:rsidRDefault="005320F6" w:rsidP="005320F6">
      <w:pPr>
        <w:pStyle w:val="Akapitzlist"/>
        <w:rPr>
          <w:rFonts w:ascii="Times New Roman" w:hAnsi="Times New Roman" w:cs="Times New Roman"/>
          <w:color w:val="C00000"/>
          <w:sz w:val="24"/>
          <w:szCs w:val="24"/>
        </w:rPr>
      </w:pPr>
      <w:r w:rsidRPr="005320F6">
        <w:rPr>
          <w:rFonts w:ascii="Times New Roman" w:hAnsi="Times New Roman" w:cs="Times New Roman"/>
          <w:color w:val="C00000"/>
          <w:sz w:val="24"/>
          <w:szCs w:val="24"/>
        </w:rPr>
        <w:t>W trójkącie prostokątnym suma kwadratów długości przyprostokątnych jest równa kwadratowi długości przeciwprostokątnej.</w:t>
      </w:r>
    </w:p>
    <w:p w:rsidR="005320F6" w:rsidRPr="005320F6" w:rsidRDefault="005320F6" w:rsidP="005320F6">
      <w:pPr>
        <w:pStyle w:val="Akapitzlist"/>
        <w:rPr>
          <w:rFonts w:ascii="Times New Roman" w:hAnsi="Times New Roman" w:cs="Times New Roman"/>
          <w:color w:val="C00000"/>
          <w:sz w:val="24"/>
          <w:szCs w:val="24"/>
        </w:rPr>
      </w:pPr>
    </w:p>
    <w:p w:rsidR="005320F6" w:rsidRPr="005320F6" w:rsidRDefault="005320F6" w:rsidP="005320F6">
      <w:pPr>
        <w:pStyle w:val="Akapitzlist"/>
        <w:rPr>
          <w:rFonts w:ascii="Times New Roman" w:hAnsi="Times New Roman" w:cs="Times New Roman"/>
          <w:color w:val="C00000"/>
          <w:sz w:val="24"/>
          <w:szCs w:val="24"/>
        </w:rPr>
      </w:pPr>
      <w:r w:rsidRPr="005320F6">
        <w:rPr>
          <w:rFonts w:ascii="Times New Roman" w:hAnsi="Times New Roman" w:cs="Times New Roman"/>
          <w:color w:val="C00000"/>
          <w:sz w:val="24"/>
          <w:szCs w:val="24"/>
        </w:rPr>
        <w:t>a</w:t>
      </w:r>
      <w:r w:rsidRPr="005320F6">
        <w:rPr>
          <w:rFonts w:ascii="Times New Roman" w:hAnsi="Times New Roman" w:cs="Times New Roman"/>
          <w:color w:val="C00000"/>
          <w:sz w:val="24"/>
          <w:szCs w:val="24"/>
          <w:vertAlign w:val="superscript"/>
        </w:rPr>
        <w:t xml:space="preserve">2 </w:t>
      </w:r>
      <w:r w:rsidRPr="005320F6">
        <w:rPr>
          <w:rFonts w:ascii="Times New Roman" w:hAnsi="Times New Roman" w:cs="Times New Roman"/>
          <w:color w:val="C00000"/>
          <w:sz w:val="24"/>
          <w:szCs w:val="24"/>
        </w:rPr>
        <w:t>+ b</w:t>
      </w:r>
      <w:r w:rsidRPr="005320F6">
        <w:rPr>
          <w:rFonts w:ascii="Times New Roman" w:hAnsi="Times New Roman" w:cs="Times New Roman"/>
          <w:color w:val="C00000"/>
          <w:sz w:val="24"/>
          <w:szCs w:val="24"/>
          <w:vertAlign w:val="superscript"/>
        </w:rPr>
        <w:t>2</w:t>
      </w:r>
      <w:r w:rsidRPr="005320F6">
        <w:rPr>
          <w:rFonts w:ascii="Times New Roman" w:hAnsi="Times New Roman" w:cs="Times New Roman"/>
          <w:color w:val="C00000"/>
          <w:sz w:val="24"/>
          <w:szCs w:val="24"/>
        </w:rPr>
        <w:t xml:space="preserve"> = c</w:t>
      </w:r>
      <w:r w:rsidRPr="005320F6">
        <w:rPr>
          <w:rFonts w:ascii="Times New Roman" w:hAnsi="Times New Roman" w:cs="Times New Roman"/>
          <w:color w:val="C00000"/>
          <w:sz w:val="24"/>
          <w:szCs w:val="24"/>
          <w:vertAlign w:val="superscript"/>
        </w:rPr>
        <w:t>2</w:t>
      </w:r>
    </w:p>
    <w:p w:rsidR="005320F6" w:rsidRDefault="005320F6" w:rsidP="005320F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320F6" w:rsidRPr="005320F6" w:rsidRDefault="005320F6" w:rsidP="005320F6">
      <w:pPr>
        <w:pStyle w:val="Akapitzlist"/>
        <w:rPr>
          <w:rFonts w:ascii="Times New Roman" w:hAnsi="Times New Roman" w:cs="Times New Roman"/>
          <w:color w:val="7030A0"/>
          <w:sz w:val="24"/>
          <w:szCs w:val="24"/>
          <w:u w:val="single"/>
        </w:rPr>
      </w:pPr>
      <w:r w:rsidRPr="005320F6">
        <w:rPr>
          <w:rFonts w:ascii="Times New Roman" w:hAnsi="Times New Roman" w:cs="Times New Roman"/>
          <w:color w:val="7030A0"/>
          <w:sz w:val="24"/>
          <w:szCs w:val="24"/>
          <w:u w:val="single"/>
        </w:rPr>
        <w:t>Twierdzenie odwrotne do twierdzenia Pitagorasa.</w:t>
      </w:r>
      <w:bookmarkStart w:id="0" w:name="_GoBack"/>
      <w:bookmarkEnd w:id="0"/>
    </w:p>
    <w:p w:rsidR="005320F6" w:rsidRDefault="005320F6" w:rsidP="005320F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320F6" w:rsidRPr="005320F6" w:rsidRDefault="005320F6" w:rsidP="005320F6">
      <w:pPr>
        <w:pStyle w:val="Akapitzlist"/>
        <w:rPr>
          <w:rFonts w:ascii="Times New Roman" w:hAnsi="Times New Roman" w:cs="Times New Roman"/>
          <w:color w:val="7030A0"/>
          <w:sz w:val="24"/>
          <w:szCs w:val="24"/>
        </w:rPr>
      </w:pPr>
      <w:r w:rsidRPr="005320F6">
        <w:rPr>
          <w:rFonts w:ascii="Times New Roman" w:hAnsi="Times New Roman" w:cs="Times New Roman"/>
          <w:color w:val="7030A0"/>
          <w:sz w:val="24"/>
          <w:szCs w:val="24"/>
        </w:rPr>
        <w:t>Jeżeli suma kwadratów długości dwóch boków trójkąta jest równa kwadratowi długości trzeciego boku, to trójkąt ten jest prostokątny.</w:t>
      </w:r>
    </w:p>
    <w:p w:rsidR="005320F6" w:rsidRDefault="005320F6" w:rsidP="005320F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320F6" w:rsidRDefault="005320F6" w:rsidP="005320F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320F6" w:rsidRDefault="005320F6" w:rsidP="005320F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Przekątna kwadratu o boku długości a jest równa a√2</w:t>
      </w:r>
    </w:p>
    <w:p w:rsidR="005320F6" w:rsidRDefault="005320F6" w:rsidP="005320F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320F6" w:rsidRPr="001F02B5" w:rsidRDefault="005320F6" w:rsidP="005320F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Wysokość trójkąta równobocznego o boku długości a jest równa a√3/2</w:t>
      </w:r>
    </w:p>
    <w:p w:rsidR="005320F6" w:rsidRDefault="005320F6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F1C63" w:rsidRDefault="00EF1C63" w:rsidP="00EF1C6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61E77" w:rsidRDefault="00E61E77"/>
    <w:sectPr w:rsidR="00E61E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244D6"/>
    <w:multiLevelType w:val="hybridMultilevel"/>
    <w:tmpl w:val="B6F45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C63"/>
    <w:rsid w:val="005320F6"/>
    <w:rsid w:val="00E61E77"/>
    <w:rsid w:val="00EF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8884E"/>
  <w15:chartTrackingRefBased/>
  <w15:docId w15:val="{C8D689C5-E4F6-49D6-8B70-8116CA9EB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1C63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1</cp:revision>
  <dcterms:created xsi:type="dcterms:W3CDTF">2021-02-12T14:24:00Z</dcterms:created>
  <dcterms:modified xsi:type="dcterms:W3CDTF">2021-02-12T14:38:00Z</dcterms:modified>
</cp:coreProperties>
</file>