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06E8F" w:rsidRPr="0064684B" w:rsidRDefault="00E06E8F" w:rsidP="0064684B">
      <w:pPr>
        <w:jc w:val="center"/>
        <w:rPr>
          <w:rFonts w:ascii="Arial" w:hAnsi="Arial" w:cs="Arial"/>
          <w:b/>
          <w:sz w:val="24"/>
          <w:szCs w:val="24"/>
        </w:rPr>
      </w:pPr>
      <w:r w:rsidRPr="0064684B">
        <w:rPr>
          <w:rFonts w:ascii="Arial" w:hAnsi="Arial" w:cs="Arial"/>
          <w:b/>
          <w:sz w:val="24"/>
          <w:szCs w:val="24"/>
        </w:rPr>
        <w:t>ZJAZD 2</w:t>
      </w:r>
    </w:p>
    <w:p w:rsidR="00E06E8F" w:rsidRPr="0064684B" w:rsidRDefault="00E06E8F" w:rsidP="0064684B">
      <w:pPr>
        <w:jc w:val="center"/>
        <w:rPr>
          <w:rFonts w:ascii="Arial" w:hAnsi="Arial" w:cs="Arial"/>
          <w:b/>
          <w:sz w:val="24"/>
          <w:szCs w:val="24"/>
        </w:rPr>
      </w:pPr>
      <w:r w:rsidRPr="0064684B">
        <w:rPr>
          <w:rFonts w:ascii="Arial" w:hAnsi="Arial" w:cs="Arial"/>
          <w:b/>
          <w:sz w:val="24"/>
          <w:szCs w:val="24"/>
        </w:rPr>
        <w:t>05-07.02.2021</w:t>
      </w:r>
      <w:r w:rsidR="0064684B">
        <w:rPr>
          <w:rFonts w:ascii="Arial" w:hAnsi="Arial" w:cs="Arial"/>
          <w:b/>
          <w:sz w:val="24"/>
          <w:szCs w:val="24"/>
        </w:rPr>
        <w:t xml:space="preserve">        </w:t>
      </w:r>
      <w:r w:rsidR="0064684B" w:rsidRPr="0064684B">
        <w:rPr>
          <w:rFonts w:ascii="Arial" w:hAnsi="Arial" w:cs="Arial"/>
          <w:b/>
          <w:sz w:val="24"/>
          <w:szCs w:val="24"/>
        </w:rPr>
        <w:t xml:space="preserve"> </w:t>
      </w:r>
      <w:r w:rsidRPr="0064684B">
        <w:rPr>
          <w:rFonts w:ascii="Arial" w:hAnsi="Arial" w:cs="Arial"/>
          <w:b/>
          <w:sz w:val="24"/>
          <w:szCs w:val="24"/>
        </w:rPr>
        <w:t>EKA.07</w:t>
      </w:r>
    </w:p>
    <w:p w:rsidR="0064684B" w:rsidRPr="00F1222E" w:rsidRDefault="0064684B" w:rsidP="00E06E8F">
      <w:pPr>
        <w:rPr>
          <w:rFonts w:ascii="Arial" w:hAnsi="Arial" w:cs="Arial"/>
          <w:sz w:val="24"/>
          <w:szCs w:val="24"/>
        </w:rPr>
      </w:pPr>
    </w:p>
    <w:p w:rsidR="00E06E8F" w:rsidRDefault="00E06E8F" w:rsidP="00E06E8F">
      <w:pPr>
        <w:spacing w:before="100" w:beforeAutospacing="1" w:after="100" w:afterAutospacing="1" w:line="240" w:lineRule="auto"/>
        <w:outlineLvl w:val="1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SYSTEMY KOMPUTEROWE W RACHUNKOWOŚCI</w:t>
      </w:r>
    </w:p>
    <w:p w:rsidR="0064684B" w:rsidRPr="00265C5B" w:rsidRDefault="0064684B" w:rsidP="00E06E8F">
      <w:pPr>
        <w:spacing w:before="100" w:beforeAutospacing="1" w:after="100" w:afterAutospacing="1" w:line="240" w:lineRule="auto"/>
        <w:outlineLvl w:val="1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</w:p>
    <w:p w:rsidR="0064684B" w:rsidRPr="0011357E" w:rsidRDefault="0064684B" w:rsidP="0064684B">
      <w:pPr>
        <w:spacing w:before="100" w:beforeAutospacing="1" w:after="100" w:afterAutospacing="1" w:line="240" w:lineRule="auto"/>
        <w:jc w:val="both"/>
        <w:outlineLvl w:val="1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11357E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Co to jest polityka rachunkowości</w:t>
      </w:r>
    </w:p>
    <w:p w:rsidR="0064684B" w:rsidRPr="0011357E" w:rsidRDefault="0064684B" w:rsidP="0064684B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11357E">
        <w:rPr>
          <w:rFonts w:ascii="Arial" w:eastAsia="Times New Roman" w:hAnsi="Arial" w:cs="Arial"/>
          <w:sz w:val="24"/>
          <w:szCs w:val="24"/>
          <w:lang w:eastAsia="pl-PL"/>
        </w:rPr>
        <w:t xml:space="preserve">Każda organizacja pozarządowa, zgodnie z ustawą o rachunkowości, powinna opracować </w:t>
      </w:r>
      <w:r w:rsidRPr="0011357E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politykę rachunkowości, czyli zasady finansowe, według których prowadzone są księgi rachunkowe</w:t>
      </w:r>
      <w:r w:rsidRPr="0011357E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:rsidR="0064684B" w:rsidRPr="0011357E" w:rsidRDefault="0064684B" w:rsidP="0064684B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11357E">
        <w:rPr>
          <w:rFonts w:ascii="Arial" w:eastAsia="Times New Roman" w:hAnsi="Arial" w:cs="Arial"/>
          <w:sz w:val="24"/>
          <w:szCs w:val="24"/>
          <w:lang w:eastAsia="pl-PL"/>
        </w:rPr>
        <w:t xml:space="preserve">Ustawa o rachunkowości i ustawy podatkowe mówią o ogólnych zasadach księgowości, zaś polityka rachunkowości to konkretne reguły i praktyki przyjęte </w:t>
      </w:r>
      <w:r>
        <w:rPr>
          <w:rFonts w:ascii="Arial" w:eastAsia="Times New Roman" w:hAnsi="Arial" w:cs="Arial"/>
          <w:sz w:val="24"/>
          <w:szCs w:val="24"/>
          <w:lang w:eastAsia="pl-PL"/>
        </w:rPr>
        <w:br/>
      </w:r>
      <w:r w:rsidRPr="0011357E">
        <w:rPr>
          <w:rFonts w:ascii="Arial" w:eastAsia="Times New Roman" w:hAnsi="Arial" w:cs="Arial"/>
          <w:sz w:val="24"/>
          <w:szCs w:val="24"/>
          <w:lang w:eastAsia="pl-PL"/>
        </w:rPr>
        <w:t xml:space="preserve">w organizacji do prowadzenia rachunkowości. Politykę rachunkowości, jako dokument opisujący zasady finansowe obowiązujące w organizacji, opracowuje księgowy wspólnie z zarządem lub osobą odpowiedzialną za zarządzanie finansami </w:t>
      </w:r>
      <w:r>
        <w:rPr>
          <w:rFonts w:ascii="Arial" w:eastAsia="Times New Roman" w:hAnsi="Arial" w:cs="Arial"/>
          <w:sz w:val="24"/>
          <w:szCs w:val="24"/>
          <w:lang w:eastAsia="pl-PL"/>
        </w:rPr>
        <w:br/>
      </w:r>
      <w:r w:rsidRPr="0011357E">
        <w:rPr>
          <w:rFonts w:ascii="Arial" w:eastAsia="Times New Roman" w:hAnsi="Arial" w:cs="Arial"/>
          <w:sz w:val="24"/>
          <w:szCs w:val="24"/>
          <w:lang w:eastAsia="pl-PL"/>
        </w:rPr>
        <w:t xml:space="preserve">w organizacji. Chcąc mieć dobrze funkcjonującą księgowość, trzeba zwróć uwagę, </w:t>
      </w:r>
      <w:r>
        <w:rPr>
          <w:rFonts w:ascii="Arial" w:eastAsia="Times New Roman" w:hAnsi="Arial" w:cs="Arial"/>
          <w:sz w:val="24"/>
          <w:szCs w:val="24"/>
          <w:lang w:eastAsia="pl-PL"/>
        </w:rPr>
        <w:br/>
      </w:r>
      <w:r w:rsidRPr="0011357E">
        <w:rPr>
          <w:rFonts w:ascii="Arial" w:eastAsia="Times New Roman" w:hAnsi="Arial" w:cs="Arial"/>
          <w:sz w:val="24"/>
          <w:szCs w:val="24"/>
          <w:lang w:eastAsia="pl-PL"/>
        </w:rPr>
        <w:t>by opracowane reguły były nie tylko zgodne z wymaganiami ustawy, lecz także uwzględniały specyfikę działalności organizacji.</w:t>
      </w:r>
    </w:p>
    <w:p w:rsidR="0064684B" w:rsidRPr="0011357E" w:rsidRDefault="0064684B" w:rsidP="0064684B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11357E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Opracowana polityka rachunkowości powinna zostać spisana i przyjęta przez zarząd.</w:t>
      </w:r>
      <w:r w:rsidRPr="0011357E">
        <w:rPr>
          <w:rFonts w:ascii="Arial" w:eastAsia="Times New Roman" w:hAnsi="Arial" w:cs="Arial"/>
          <w:sz w:val="24"/>
          <w:szCs w:val="24"/>
          <w:lang w:eastAsia="pl-PL"/>
        </w:rPr>
        <w:t xml:space="preserve"> Za politykę rachunkowości organizacji odpowiedzialność ponosi zarząd, który przyjmuje ten dokument na podstawie uchwały.</w:t>
      </w:r>
    </w:p>
    <w:p w:rsidR="0064684B" w:rsidRPr="0011357E" w:rsidRDefault="0064684B" w:rsidP="0064684B">
      <w:pPr>
        <w:jc w:val="both"/>
        <w:rPr>
          <w:rFonts w:ascii="Arial" w:hAnsi="Arial" w:cs="Arial"/>
          <w:sz w:val="24"/>
          <w:szCs w:val="24"/>
        </w:rPr>
      </w:pPr>
    </w:p>
    <w:p w:rsidR="0064684B" w:rsidRPr="0011357E" w:rsidRDefault="0064684B" w:rsidP="0064684B">
      <w:pPr>
        <w:spacing w:before="100" w:beforeAutospacing="1" w:after="100" w:afterAutospacing="1" w:line="240" w:lineRule="auto"/>
        <w:jc w:val="both"/>
        <w:outlineLvl w:val="1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11357E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Co wziąć pod uwagę opracowując politykę rachunkowości </w:t>
      </w:r>
    </w:p>
    <w:p w:rsidR="0064684B" w:rsidRPr="0011357E" w:rsidRDefault="0064684B" w:rsidP="0064684B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11357E">
        <w:rPr>
          <w:rFonts w:ascii="Arial" w:eastAsia="Times New Roman" w:hAnsi="Arial" w:cs="Arial"/>
          <w:sz w:val="24"/>
          <w:szCs w:val="24"/>
          <w:lang w:eastAsia="pl-PL"/>
        </w:rPr>
        <w:t>Dobrze prowadzona księgowość powinna odzwierciedlać faktyczną sytuację finansową organizacji. Dlatego opracowując politykę rachunkowości, należy kierować się następującymi zasadami:</w:t>
      </w:r>
    </w:p>
    <w:p w:rsidR="0064684B" w:rsidRPr="0011357E" w:rsidRDefault="0064684B" w:rsidP="0064684B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11357E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zasada istotności</w:t>
      </w:r>
      <w:r w:rsidRPr="0011357E">
        <w:rPr>
          <w:rFonts w:ascii="Arial" w:eastAsia="Times New Roman" w:hAnsi="Arial" w:cs="Arial"/>
          <w:sz w:val="24"/>
          <w:szCs w:val="24"/>
          <w:lang w:eastAsia="pl-PL"/>
        </w:rPr>
        <w:t xml:space="preserve"> – w sprawozdaniu finansowym należy przedstawić informacje, które mają znaczenie przy ocenie sytuacji majątkowej, finansowej </w:t>
      </w:r>
      <w:r>
        <w:rPr>
          <w:rFonts w:ascii="Arial" w:eastAsia="Times New Roman" w:hAnsi="Arial" w:cs="Arial"/>
          <w:sz w:val="24"/>
          <w:szCs w:val="24"/>
          <w:lang w:eastAsia="pl-PL"/>
        </w:rPr>
        <w:br/>
      </w:r>
      <w:r w:rsidRPr="0011357E">
        <w:rPr>
          <w:rFonts w:ascii="Arial" w:eastAsia="Times New Roman" w:hAnsi="Arial" w:cs="Arial"/>
          <w:sz w:val="24"/>
          <w:szCs w:val="24"/>
          <w:lang w:eastAsia="pl-PL"/>
        </w:rPr>
        <w:t>i wyniku finansowego organizacji; aby uzyskać takie informacje trzeba wyodrębnić wszystkie istotne operacje, które finansowo opisują działalność organizacji;</w:t>
      </w:r>
    </w:p>
    <w:p w:rsidR="0064684B" w:rsidRPr="0011357E" w:rsidRDefault="0064684B" w:rsidP="0064684B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11357E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zasada kontynuacji działania</w:t>
      </w:r>
      <w:r w:rsidRPr="0011357E">
        <w:rPr>
          <w:rFonts w:ascii="Arial" w:eastAsia="Times New Roman" w:hAnsi="Arial" w:cs="Arial"/>
          <w:sz w:val="24"/>
          <w:szCs w:val="24"/>
          <w:lang w:eastAsia="pl-PL"/>
        </w:rPr>
        <w:t xml:space="preserve"> – zakłada, że w dającej się przewidzieć przyszłości organizacja będzie nadal działać;</w:t>
      </w:r>
    </w:p>
    <w:p w:rsidR="0064684B" w:rsidRPr="0011357E" w:rsidRDefault="0064684B" w:rsidP="0064684B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11357E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zasada memoriału i współmierności</w:t>
      </w:r>
      <w:r w:rsidRPr="0011357E">
        <w:rPr>
          <w:rFonts w:ascii="Arial" w:eastAsia="Times New Roman" w:hAnsi="Arial" w:cs="Arial"/>
          <w:sz w:val="24"/>
          <w:szCs w:val="24"/>
          <w:lang w:eastAsia="pl-PL"/>
        </w:rPr>
        <w:t xml:space="preserve"> – przychody i koszty należy ująć w momencie ich powstania, niezależnie od terminu ich zapłaty, a w szczególności zachować ich współmierność, czyli odnosić się przede wszystkim do prowadzonych działań w danym okresie, z którymi to ściśle powiązane są przychody i koszty. Oznacza to, że w wyniku finansowym uwzględnia się daną operację niezależnie od tego, czy nastąpił faktyczny wydatek udokumentowany fakturą (rachunkiem), czy operacja została jedynie w sposób wiarygodny </w:t>
      </w:r>
      <w:r w:rsidRPr="0011357E">
        <w:rPr>
          <w:rFonts w:ascii="Arial" w:eastAsia="Times New Roman" w:hAnsi="Arial" w:cs="Arial"/>
          <w:sz w:val="24"/>
          <w:szCs w:val="24"/>
          <w:lang w:eastAsia="pl-PL"/>
        </w:rPr>
        <w:lastRenderedPageBreak/>
        <w:t>oszacowana; zgodnie z zasadą współmierności w wyniku finansowym danego okresu ujmuje się te wszystkie koszty, które w sposób bezpośredni lub pośredni przyczyniły się do powstania przychodów tego okresu;</w:t>
      </w:r>
    </w:p>
    <w:p w:rsidR="0064684B" w:rsidRPr="0011357E" w:rsidRDefault="0064684B" w:rsidP="0064684B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11357E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zasada wiarygodności</w:t>
      </w:r>
      <w:r w:rsidRPr="0011357E">
        <w:rPr>
          <w:rFonts w:ascii="Arial" w:eastAsia="Times New Roman" w:hAnsi="Arial" w:cs="Arial"/>
          <w:sz w:val="24"/>
          <w:szCs w:val="24"/>
          <w:lang w:eastAsia="pl-PL"/>
        </w:rPr>
        <w:t xml:space="preserve"> – zobowiązuje do rzetelnego przedstawienia obrazu organizacji poprzez sprawozdania jej sytuacji majątkowej i finansowej;</w:t>
      </w:r>
    </w:p>
    <w:p w:rsidR="0064684B" w:rsidRPr="0011357E" w:rsidRDefault="0064684B" w:rsidP="0064684B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11357E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zasada ostrożności</w:t>
      </w:r>
      <w:r w:rsidRPr="0011357E">
        <w:rPr>
          <w:rFonts w:ascii="Arial" w:eastAsia="Times New Roman" w:hAnsi="Arial" w:cs="Arial"/>
          <w:sz w:val="24"/>
          <w:szCs w:val="24"/>
          <w:lang w:eastAsia="pl-PL"/>
        </w:rPr>
        <w:t xml:space="preserve"> – zobowiązuje do dokonywania realnej wyceny aktywów, a także pełnego uwzględnienia zobowiązań oraz zakłada uznanie przychodów za zrealizowane wówczas, jeśli przychody te są pewne, a kosztów – z chwilą ich poniesienia; głównym jej celem jest ograniczenie dowolnej wyceny aktywów i pasywów oraz właściwe i rzetelne odzwierciedlenie uzyskanych przychodów, poniesionych kosztów oraz związanego z nimi ryzyka gospodarczego; organizacje nieprowadzące działalności gospodarczej mogą odejść od tej zasady;</w:t>
      </w:r>
    </w:p>
    <w:p w:rsidR="0064684B" w:rsidRPr="0011357E" w:rsidRDefault="0064684B" w:rsidP="0064684B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11357E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zasada ciągłości</w:t>
      </w:r>
      <w:r w:rsidRPr="0011357E">
        <w:rPr>
          <w:rFonts w:ascii="Arial" w:eastAsia="Times New Roman" w:hAnsi="Arial" w:cs="Arial"/>
          <w:sz w:val="24"/>
          <w:szCs w:val="24"/>
          <w:lang w:eastAsia="pl-PL"/>
        </w:rPr>
        <w:t xml:space="preserve"> – dotyczy niezmienności zastosowanych i raz przyjętych zasad wyceny aktywów i pasywów, klasyfikacji, prezentacji oraz metod zaliczania przychodów i rozliczenia kosztów; zasada ta uzupełniona została o warunek zapewnienia porównywalności informacji finansowych za kolejne lata obrotowe, tzn. że sprawozdania finansowe muszą pokazywać wynik za bieżący i poprzedni rok obrotowy; w kolejnych sprawozdaniach zawarte informacje muszą być ze sobą porównywalne;</w:t>
      </w:r>
    </w:p>
    <w:p w:rsidR="0064684B" w:rsidRPr="0011357E" w:rsidRDefault="0064684B" w:rsidP="0064684B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11357E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zasada indywidualnej wyceny</w:t>
      </w:r>
      <w:r w:rsidRPr="0011357E">
        <w:rPr>
          <w:rFonts w:ascii="Arial" w:eastAsia="Times New Roman" w:hAnsi="Arial" w:cs="Arial"/>
          <w:sz w:val="24"/>
          <w:szCs w:val="24"/>
          <w:lang w:eastAsia="pl-PL"/>
        </w:rPr>
        <w:t xml:space="preserve"> – zobowiązuje do oddzielnej wyceny poszczególnych składników aktywów i pasywów, przychodów i związanych </w:t>
      </w:r>
      <w:r>
        <w:rPr>
          <w:rFonts w:ascii="Arial" w:eastAsia="Times New Roman" w:hAnsi="Arial" w:cs="Arial"/>
          <w:sz w:val="24"/>
          <w:szCs w:val="24"/>
          <w:lang w:eastAsia="pl-PL"/>
        </w:rPr>
        <w:br/>
      </w:r>
      <w:r w:rsidRPr="0011357E">
        <w:rPr>
          <w:rFonts w:ascii="Arial" w:eastAsia="Times New Roman" w:hAnsi="Arial" w:cs="Arial"/>
          <w:sz w:val="24"/>
          <w:szCs w:val="24"/>
          <w:lang w:eastAsia="pl-PL"/>
        </w:rPr>
        <w:t xml:space="preserve">z nimi kosztów, jak też strat i zysków nadzwyczajnych. Natomiast, zgodnie </w:t>
      </w:r>
      <w:r>
        <w:rPr>
          <w:rFonts w:ascii="Arial" w:eastAsia="Times New Roman" w:hAnsi="Arial" w:cs="Arial"/>
          <w:sz w:val="24"/>
          <w:szCs w:val="24"/>
          <w:lang w:eastAsia="pl-PL"/>
        </w:rPr>
        <w:br/>
      </w:r>
      <w:r w:rsidRPr="0011357E">
        <w:rPr>
          <w:rFonts w:ascii="Arial" w:eastAsia="Times New Roman" w:hAnsi="Arial" w:cs="Arial"/>
          <w:sz w:val="24"/>
          <w:szCs w:val="24"/>
          <w:lang w:eastAsia="pl-PL"/>
        </w:rPr>
        <w:t xml:space="preserve">z zasadą istotności, można uznać za jeden składnik podobne rodzajem </w:t>
      </w:r>
      <w:r>
        <w:rPr>
          <w:rFonts w:ascii="Arial" w:eastAsia="Times New Roman" w:hAnsi="Arial" w:cs="Arial"/>
          <w:sz w:val="24"/>
          <w:szCs w:val="24"/>
          <w:lang w:eastAsia="pl-PL"/>
        </w:rPr>
        <w:br/>
      </w:r>
      <w:r w:rsidRPr="0011357E">
        <w:rPr>
          <w:rFonts w:ascii="Arial" w:eastAsia="Times New Roman" w:hAnsi="Arial" w:cs="Arial"/>
          <w:sz w:val="24"/>
          <w:szCs w:val="24"/>
          <w:lang w:eastAsia="pl-PL"/>
        </w:rPr>
        <w:t>i przeznaczeniem różne składniki aktywów;</w:t>
      </w:r>
    </w:p>
    <w:p w:rsidR="0064684B" w:rsidRPr="0011357E" w:rsidRDefault="0064684B" w:rsidP="0064684B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11357E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zasada zakazu kompensaty</w:t>
      </w:r>
      <w:r w:rsidRPr="0011357E">
        <w:rPr>
          <w:rFonts w:ascii="Arial" w:eastAsia="Times New Roman" w:hAnsi="Arial" w:cs="Arial"/>
          <w:sz w:val="24"/>
          <w:szCs w:val="24"/>
          <w:lang w:eastAsia="pl-PL"/>
        </w:rPr>
        <w:t xml:space="preserve"> – oznacza, że nie można kompensować ze sobą kosztów różnych co do rodzaju aktywów i pasywów, przychodów i związanych z nimi kosztów. Zdarzenia jednego rodzaju, które można kompensować </w:t>
      </w:r>
      <w:r>
        <w:rPr>
          <w:rFonts w:ascii="Arial" w:eastAsia="Times New Roman" w:hAnsi="Arial" w:cs="Arial"/>
          <w:sz w:val="24"/>
          <w:szCs w:val="24"/>
          <w:lang w:eastAsia="pl-PL"/>
        </w:rPr>
        <w:br/>
      </w:r>
      <w:r w:rsidRPr="0011357E">
        <w:rPr>
          <w:rFonts w:ascii="Arial" w:eastAsia="Times New Roman" w:hAnsi="Arial" w:cs="Arial"/>
          <w:sz w:val="24"/>
          <w:szCs w:val="24"/>
          <w:lang w:eastAsia="pl-PL"/>
        </w:rPr>
        <w:t>i wykazywać łącznie wynik to np. różnice kursowe, zbycie niefinansowych aktywów trwałych oraz zbycie inwestycji.</w:t>
      </w:r>
    </w:p>
    <w:p w:rsidR="0064684B" w:rsidRDefault="0064684B" w:rsidP="0064684B">
      <w:pPr>
        <w:spacing w:before="100" w:beforeAutospacing="1" w:after="100" w:afterAutospacing="1" w:line="240" w:lineRule="auto"/>
        <w:jc w:val="both"/>
        <w:outlineLvl w:val="1"/>
        <w:rPr>
          <w:rFonts w:ascii="Arial" w:eastAsia="Times New Roman" w:hAnsi="Arial" w:cs="Arial"/>
          <w:sz w:val="24"/>
          <w:szCs w:val="24"/>
          <w:lang w:eastAsia="pl-PL"/>
        </w:rPr>
      </w:pPr>
    </w:p>
    <w:p w:rsidR="0064684B" w:rsidRPr="0011357E" w:rsidRDefault="0064684B" w:rsidP="0064684B">
      <w:pPr>
        <w:spacing w:before="100" w:beforeAutospacing="1" w:after="100" w:afterAutospacing="1" w:line="240" w:lineRule="auto"/>
        <w:jc w:val="both"/>
        <w:outlineLvl w:val="1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11357E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Co powinien zawierać dokument zwany polityką rachunkowości</w:t>
      </w:r>
    </w:p>
    <w:p w:rsidR="0064684B" w:rsidRPr="0011357E" w:rsidRDefault="0064684B" w:rsidP="0064684B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11357E">
        <w:rPr>
          <w:rFonts w:ascii="Arial" w:eastAsia="Times New Roman" w:hAnsi="Arial" w:cs="Arial"/>
          <w:sz w:val="24"/>
          <w:szCs w:val="24"/>
          <w:lang w:eastAsia="pl-PL"/>
        </w:rPr>
        <w:t xml:space="preserve">Opisane w polityce rachunkowości danej organizacji zasady finansowe określają m.in. </w:t>
      </w:r>
      <w:r w:rsidRPr="0011357E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plan kont</w:t>
      </w:r>
      <w:r w:rsidRPr="0011357E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 w:rsidRPr="0011357E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sposób obiegu, przechowywania i archiwizacji dokumentacji finansowej</w:t>
      </w:r>
      <w:r w:rsidRPr="0011357E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 w:rsidRPr="0011357E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sposób amortyzowania środków trwałych</w:t>
      </w:r>
      <w:r w:rsidRPr="0011357E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 w:rsidRPr="0011357E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informacje o sposobie księgowania kosztów przynależących do roku poprzedniego, a realizowanych w roku następnym</w:t>
      </w:r>
      <w:r w:rsidRPr="0011357E">
        <w:rPr>
          <w:rFonts w:ascii="Arial" w:eastAsia="Times New Roman" w:hAnsi="Arial" w:cs="Arial"/>
          <w:sz w:val="24"/>
          <w:szCs w:val="24"/>
          <w:lang w:eastAsia="pl-PL"/>
        </w:rPr>
        <w:t xml:space="preserve"> itd. W szczególności powinny znaleźć się tam następujące informacje:</w:t>
      </w:r>
    </w:p>
    <w:p w:rsidR="0064684B" w:rsidRPr="0011357E" w:rsidRDefault="0064684B" w:rsidP="0064684B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11357E">
        <w:rPr>
          <w:rFonts w:ascii="Arial" w:eastAsia="Times New Roman" w:hAnsi="Arial" w:cs="Arial"/>
          <w:sz w:val="24"/>
          <w:szCs w:val="24"/>
          <w:lang w:eastAsia="pl-PL"/>
        </w:rPr>
        <w:t>jaki jest nasz rok obrotowy i jego okresy sprawozdawcze;</w:t>
      </w:r>
    </w:p>
    <w:p w:rsidR="0064684B" w:rsidRPr="0011357E" w:rsidRDefault="0064684B" w:rsidP="0064684B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11357E">
        <w:rPr>
          <w:rFonts w:ascii="Arial" w:eastAsia="Times New Roman" w:hAnsi="Arial" w:cs="Arial"/>
          <w:sz w:val="24"/>
          <w:szCs w:val="24"/>
          <w:lang w:eastAsia="pl-PL"/>
        </w:rPr>
        <w:t>zasady dokumentowania operacji dowodami księgowymi;</w:t>
      </w:r>
    </w:p>
    <w:p w:rsidR="0064684B" w:rsidRPr="0011357E" w:rsidRDefault="0064684B" w:rsidP="0064684B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11357E">
        <w:rPr>
          <w:rFonts w:ascii="Arial" w:eastAsia="Times New Roman" w:hAnsi="Arial" w:cs="Arial"/>
          <w:sz w:val="24"/>
          <w:szCs w:val="24"/>
          <w:lang w:eastAsia="pl-PL"/>
        </w:rPr>
        <w:t>zasady wyceny i amortyzacji posiadanego majątku;</w:t>
      </w:r>
    </w:p>
    <w:p w:rsidR="0064684B" w:rsidRPr="0011357E" w:rsidRDefault="0064684B" w:rsidP="0064684B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11357E">
        <w:rPr>
          <w:rFonts w:ascii="Arial" w:eastAsia="Times New Roman" w:hAnsi="Arial" w:cs="Arial"/>
          <w:sz w:val="24"/>
          <w:szCs w:val="24"/>
          <w:lang w:eastAsia="pl-PL"/>
        </w:rPr>
        <w:t>sposób prowadzenia ksiąg rachunkowych;</w:t>
      </w:r>
    </w:p>
    <w:p w:rsidR="0064684B" w:rsidRPr="0011357E" w:rsidRDefault="0064684B" w:rsidP="0064684B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11357E">
        <w:rPr>
          <w:rFonts w:ascii="Arial" w:eastAsia="Times New Roman" w:hAnsi="Arial" w:cs="Arial"/>
          <w:sz w:val="24"/>
          <w:szCs w:val="24"/>
          <w:lang w:eastAsia="pl-PL"/>
        </w:rPr>
        <w:t>określenie planu kont, w szczególności podziału kosztów i przychodów;</w:t>
      </w:r>
    </w:p>
    <w:p w:rsidR="0064684B" w:rsidRPr="0011357E" w:rsidRDefault="0064684B" w:rsidP="0064684B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11357E">
        <w:rPr>
          <w:rFonts w:ascii="Arial" w:eastAsia="Times New Roman" w:hAnsi="Arial" w:cs="Arial"/>
          <w:sz w:val="24"/>
          <w:szCs w:val="24"/>
          <w:lang w:eastAsia="pl-PL"/>
        </w:rPr>
        <w:t>zasady inwentaryzacji posiadanego majątku;</w:t>
      </w:r>
    </w:p>
    <w:p w:rsidR="0064684B" w:rsidRPr="0011357E" w:rsidRDefault="0064684B" w:rsidP="0064684B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11357E">
        <w:rPr>
          <w:rFonts w:ascii="Arial" w:eastAsia="Times New Roman" w:hAnsi="Arial" w:cs="Arial"/>
          <w:sz w:val="24"/>
          <w:szCs w:val="24"/>
          <w:lang w:eastAsia="pl-PL"/>
        </w:rPr>
        <w:t>zasady archiwizacja dokumentów i okres ich przechowywania; udostępnianie danych oraz dokumentów osobom trzecim;</w:t>
      </w:r>
    </w:p>
    <w:p w:rsidR="0064684B" w:rsidRPr="0011357E" w:rsidRDefault="0064684B" w:rsidP="0064684B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11357E">
        <w:rPr>
          <w:rFonts w:ascii="Arial" w:eastAsia="Times New Roman" w:hAnsi="Arial" w:cs="Arial"/>
          <w:sz w:val="24"/>
          <w:szCs w:val="24"/>
          <w:lang w:eastAsia="pl-PL"/>
        </w:rPr>
        <w:lastRenderedPageBreak/>
        <w:t>metody prowadzenia ewidencji zapasów;</w:t>
      </w:r>
    </w:p>
    <w:p w:rsidR="0064684B" w:rsidRPr="0011357E" w:rsidRDefault="0064684B" w:rsidP="0064684B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11357E">
        <w:rPr>
          <w:rFonts w:ascii="Arial" w:eastAsia="Times New Roman" w:hAnsi="Arial" w:cs="Arial"/>
          <w:sz w:val="24"/>
          <w:szCs w:val="24"/>
          <w:lang w:eastAsia="pl-PL"/>
        </w:rPr>
        <w:t>zasady wyceny aktywów i pasywów oraz ustalenia wyniku finansowego;</w:t>
      </w:r>
    </w:p>
    <w:p w:rsidR="0064684B" w:rsidRPr="0011357E" w:rsidRDefault="0064684B" w:rsidP="0064684B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11357E">
        <w:rPr>
          <w:rFonts w:ascii="Arial" w:eastAsia="Times New Roman" w:hAnsi="Arial" w:cs="Arial"/>
          <w:sz w:val="24"/>
          <w:szCs w:val="24"/>
          <w:lang w:eastAsia="pl-PL"/>
        </w:rPr>
        <w:t>opis systemu przetwarzania danych (przy korzystaniu z systemów komputerowych) oraz system zabezpieczania dokumentów.</w:t>
      </w:r>
    </w:p>
    <w:p w:rsidR="0064684B" w:rsidRPr="0011357E" w:rsidRDefault="0064684B" w:rsidP="0064684B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11357E">
        <w:rPr>
          <w:rFonts w:ascii="Arial" w:eastAsia="Times New Roman" w:hAnsi="Arial" w:cs="Arial"/>
          <w:sz w:val="24"/>
          <w:szCs w:val="24"/>
          <w:lang w:eastAsia="pl-PL"/>
        </w:rPr>
        <w:t>W polityce rachunkowości powinna zostać także wskazana osoba odpowiedzialna za przestrzeganie wszystkich procedur określonych w polityce rachunkowej organizacji</w:t>
      </w:r>
      <w:r>
        <w:rPr>
          <w:rFonts w:ascii="Arial" w:eastAsia="Times New Roman" w:hAnsi="Arial" w:cs="Arial"/>
          <w:sz w:val="24"/>
          <w:szCs w:val="24"/>
          <w:lang w:eastAsia="pl-PL"/>
        </w:rPr>
        <w:br/>
      </w:r>
      <w:r w:rsidRPr="0011357E">
        <w:rPr>
          <w:rFonts w:ascii="Arial" w:eastAsia="Times New Roman" w:hAnsi="Arial" w:cs="Arial"/>
          <w:sz w:val="24"/>
          <w:szCs w:val="24"/>
          <w:lang w:eastAsia="pl-PL"/>
        </w:rPr>
        <w:t xml:space="preserve"> i odpowiednich przepisach. Każda zmiana zasad powinna znaleźć się w aneksie, podpisanym przez osoby do tego upoważnione.</w:t>
      </w:r>
    </w:p>
    <w:p w:rsidR="0064684B" w:rsidRPr="0011357E" w:rsidRDefault="0064684B" w:rsidP="0064684B">
      <w:pPr>
        <w:spacing w:before="100" w:beforeAutospacing="1" w:after="100" w:afterAutospacing="1" w:line="240" w:lineRule="auto"/>
        <w:jc w:val="both"/>
        <w:outlineLvl w:val="1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11357E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Wybrane elementy polityki rachunkowości organizacji </w:t>
      </w:r>
    </w:p>
    <w:p w:rsidR="0064684B" w:rsidRPr="0011357E" w:rsidRDefault="0064684B" w:rsidP="0064684B">
      <w:pPr>
        <w:spacing w:before="100" w:beforeAutospacing="1" w:after="100" w:afterAutospacing="1" w:line="240" w:lineRule="auto"/>
        <w:jc w:val="both"/>
        <w:outlineLvl w:val="2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11357E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Rok obrotowy</w:t>
      </w:r>
    </w:p>
    <w:p w:rsidR="0064684B" w:rsidRPr="0011357E" w:rsidRDefault="0064684B" w:rsidP="0064684B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11357E">
        <w:rPr>
          <w:rFonts w:ascii="Arial" w:eastAsia="Times New Roman" w:hAnsi="Arial" w:cs="Arial"/>
          <w:sz w:val="24"/>
          <w:szCs w:val="24"/>
          <w:lang w:eastAsia="pl-PL"/>
        </w:rPr>
        <w:t>Rok obrotowy to okres rozliczeniowy organizacji, najczęściej jest to rok kalendarzowy lub inny okres trwający 12 kolejnych pełnych miesięcy kalendarzowych. W organizacji rok obrotowy zależy od charakteru działalności (np. w organizacji edukacyjnej może być powiązany z rokiem szkolnym) i określa go statut.</w:t>
      </w:r>
    </w:p>
    <w:p w:rsidR="0064684B" w:rsidRPr="0011357E" w:rsidRDefault="0064684B" w:rsidP="0064684B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11357E">
        <w:rPr>
          <w:rFonts w:ascii="Arial" w:eastAsia="Times New Roman" w:hAnsi="Arial" w:cs="Arial"/>
          <w:sz w:val="24"/>
          <w:szCs w:val="24"/>
          <w:lang w:eastAsia="pl-PL"/>
        </w:rPr>
        <w:t>Przyjęte zasady dotyczące roku obrotowego w organizacji pozarządowej powinny zostać opisane w polityce rachunkowości.</w:t>
      </w:r>
    </w:p>
    <w:p w:rsidR="0064684B" w:rsidRPr="0011357E" w:rsidRDefault="0064684B" w:rsidP="0064684B">
      <w:pPr>
        <w:spacing w:before="100" w:beforeAutospacing="1" w:after="100" w:afterAutospacing="1" w:line="240" w:lineRule="auto"/>
        <w:jc w:val="both"/>
        <w:outlineLvl w:val="2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11357E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Okres sprawozdawczy</w:t>
      </w:r>
    </w:p>
    <w:p w:rsidR="0064684B" w:rsidRPr="0011357E" w:rsidRDefault="0064684B" w:rsidP="0064684B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11357E">
        <w:rPr>
          <w:rFonts w:ascii="Arial" w:eastAsia="Times New Roman" w:hAnsi="Arial" w:cs="Arial"/>
          <w:sz w:val="24"/>
          <w:szCs w:val="24"/>
          <w:lang w:eastAsia="pl-PL"/>
        </w:rPr>
        <w:t xml:space="preserve">Okres sprawozdawczy to okres, za który sporządza się sprawozdanie finansowe przewidziane w ustawie o rachunkowości lub inne sprawozdania sporządzone </w:t>
      </w:r>
      <w:r>
        <w:rPr>
          <w:rFonts w:ascii="Arial" w:eastAsia="Times New Roman" w:hAnsi="Arial" w:cs="Arial"/>
          <w:sz w:val="24"/>
          <w:szCs w:val="24"/>
          <w:lang w:eastAsia="pl-PL"/>
        </w:rPr>
        <w:br/>
      </w:r>
      <w:r w:rsidRPr="0011357E">
        <w:rPr>
          <w:rFonts w:ascii="Arial" w:eastAsia="Times New Roman" w:hAnsi="Arial" w:cs="Arial"/>
          <w:sz w:val="24"/>
          <w:szCs w:val="24"/>
          <w:lang w:eastAsia="pl-PL"/>
        </w:rPr>
        <w:t>na podstawie ksiąg rachunkowych. Najczęściej jest to rok obrotowy (np. rok kalendarzowy). Stąd w polityce rachunkowości powinien znaleźć się zapis, że bilans, rachunek zysków i strat oraz informacja dodatkowa są sporządzane na koniec roku obrotowego według stanu na dzień bilansowy (tj. ostatni dzień roku).</w:t>
      </w:r>
    </w:p>
    <w:p w:rsidR="0064684B" w:rsidRPr="0011357E" w:rsidRDefault="0064684B" w:rsidP="0064684B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11357E">
        <w:rPr>
          <w:rFonts w:ascii="Arial" w:eastAsia="Times New Roman" w:hAnsi="Arial" w:cs="Arial"/>
          <w:sz w:val="24"/>
          <w:szCs w:val="24"/>
          <w:lang w:eastAsia="pl-PL"/>
        </w:rPr>
        <w:t xml:space="preserve">Bardziej szczegółowe (krótsze) okresy sprawozdawcze także ustala organizacja, uwzględniając specyfikę działania, przyjęty sposób rozliczania się z </w:t>
      </w:r>
      <w:proofErr w:type="spellStart"/>
      <w:r w:rsidRPr="0011357E">
        <w:rPr>
          <w:rFonts w:ascii="Arial" w:eastAsia="Times New Roman" w:hAnsi="Arial" w:cs="Arial"/>
          <w:sz w:val="24"/>
          <w:szCs w:val="24"/>
          <w:lang w:eastAsia="pl-PL"/>
        </w:rPr>
        <w:t>grantodawcami</w:t>
      </w:r>
      <w:proofErr w:type="spellEnd"/>
      <w:r w:rsidRPr="0011357E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eastAsia="pl-PL"/>
        </w:rPr>
        <w:br/>
      </w:r>
      <w:r w:rsidRPr="0011357E">
        <w:rPr>
          <w:rFonts w:ascii="Arial" w:eastAsia="Times New Roman" w:hAnsi="Arial" w:cs="Arial"/>
          <w:sz w:val="24"/>
          <w:szCs w:val="24"/>
          <w:lang w:eastAsia="pl-PL"/>
        </w:rPr>
        <w:t>i z urzędem skarbowym, zgodnie z przepisami prawa podatkowego.</w:t>
      </w:r>
    </w:p>
    <w:p w:rsidR="0064684B" w:rsidRPr="0011357E" w:rsidRDefault="0064684B" w:rsidP="0064684B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11357E">
        <w:rPr>
          <w:rFonts w:ascii="Arial" w:eastAsia="Times New Roman" w:hAnsi="Arial" w:cs="Arial"/>
          <w:sz w:val="24"/>
          <w:szCs w:val="24"/>
          <w:lang w:eastAsia="pl-PL"/>
        </w:rPr>
        <w:t>Przyjęte zasady powinny zostać opisane w polityce rachunkowości.</w:t>
      </w:r>
    </w:p>
    <w:p w:rsidR="0064684B" w:rsidRPr="0011357E" w:rsidRDefault="0064684B" w:rsidP="0064684B">
      <w:pPr>
        <w:spacing w:before="100" w:beforeAutospacing="1" w:after="100" w:afterAutospacing="1" w:line="240" w:lineRule="auto"/>
        <w:jc w:val="both"/>
        <w:outlineLvl w:val="2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11357E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Inwentaryzacja </w:t>
      </w:r>
    </w:p>
    <w:p w:rsidR="0064684B" w:rsidRPr="0011357E" w:rsidRDefault="0064684B" w:rsidP="0064684B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11357E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Co podlega inwentaryzacji w organizacji pozarządowej</w:t>
      </w:r>
    </w:p>
    <w:p w:rsidR="0064684B" w:rsidRPr="0011357E" w:rsidRDefault="0064684B" w:rsidP="0064684B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11357E">
        <w:rPr>
          <w:rFonts w:ascii="Arial" w:eastAsia="Times New Roman" w:hAnsi="Arial" w:cs="Arial"/>
          <w:sz w:val="24"/>
          <w:szCs w:val="24"/>
          <w:lang w:eastAsia="pl-PL"/>
        </w:rPr>
        <w:t xml:space="preserve">Obowiązek przeprowadzania inwentaryzacji wynika z przepisów ustawy </w:t>
      </w:r>
      <w:r>
        <w:rPr>
          <w:rFonts w:ascii="Arial" w:eastAsia="Times New Roman" w:hAnsi="Arial" w:cs="Arial"/>
          <w:sz w:val="24"/>
          <w:szCs w:val="24"/>
          <w:lang w:eastAsia="pl-PL"/>
        </w:rPr>
        <w:br/>
      </w:r>
      <w:r w:rsidRPr="0011357E">
        <w:rPr>
          <w:rFonts w:ascii="Arial" w:eastAsia="Times New Roman" w:hAnsi="Arial" w:cs="Arial"/>
          <w:sz w:val="24"/>
          <w:szCs w:val="24"/>
          <w:lang w:eastAsia="pl-PL"/>
        </w:rPr>
        <w:t xml:space="preserve">o rachunkowości, gdzie poświęcono jej cały rozdział 3. Ustawa nie zawiera definicji inwentaryzacji, którą określa się jako ogół czynności, mających na celu ustalenie faktycznego stanu posiadanego majątku poprzez dokonanie spisu pieniężnych </w:t>
      </w:r>
      <w:r>
        <w:rPr>
          <w:rFonts w:ascii="Arial" w:eastAsia="Times New Roman" w:hAnsi="Arial" w:cs="Arial"/>
          <w:sz w:val="24"/>
          <w:szCs w:val="24"/>
          <w:lang w:eastAsia="pl-PL"/>
        </w:rPr>
        <w:br/>
      </w:r>
      <w:r w:rsidRPr="0011357E">
        <w:rPr>
          <w:rFonts w:ascii="Arial" w:eastAsia="Times New Roman" w:hAnsi="Arial" w:cs="Arial"/>
          <w:sz w:val="24"/>
          <w:szCs w:val="24"/>
          <w:lang w:eastAsia="pl-PL"/>
        </w:rPr>
        <w:t>i rzeczowych składników majątku, uzgodnienie sald:</w:t>
      </w:r>
    </w:p>
    <w:p w:rsidR="0064684B" w:rsidRPr="0011357E" w:rsidRDefault="0064684B" w:rsidP="0064684B">
      <w:pPr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11357E">
        <w:rPr>
          <w:rFonts w:ascii="Arial" w:eastAsia="Times New Roman" w:hAnsi="Arial" w:cs="Arial"/>
          <w:sz w:val="24"/>
          <w:szCs w:val="24"/>
          <w:lang w:eastAsia="pl-PL"/>
        </w:rPr>
        <w:t>aktywów (składników majątku, m.in. środków trwałych, np. nieruchomości, meble, komputery, drukarki, aparat fotograficzny, telefon itp., pieniędzy w kasie i na koncie w banku, należności od naszych kontrahentów itd.),</w:t>
      </w:r>
    </w:p>
    <w:p w:rsidR="0064684B" w:rsidRPr="0011357E" w:rsidRDefault="0064684B" w:rsidP="0064684B">
      <w:pPr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11357E">
        <w:rPr>
          <w:rFonts w:ascii="Arial" w:eastAsia="Times New Roman" w:hAnsi="Arial" w:cs="Arial"/>
          <w:sz w:val="24"/>
          <w:szCs w:val="24"/>
          <w:lang w:eastAsia="pl-PL"/>
        </w:rPr>
        <w:lastRenderedPageBreak/>
        <w:t>i pasywów (źródeł finansowania, m.in. funduszu statutowego, kredytów, zobowiązań wobec kontrahentów oraz ZUS i US itd.),</w:t>
      </w:r>
    </w:p>
    <w:p w:rsidR="0064684B" w:rsidRPr="0011357E" w:rsidRDefault="0064684B" w:rsidP="0064684B">
      <w:pPr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11357E">
        <w:rPr>
          <w:rFonts w:ascii="Arial" w:eastAsia="Times New Roman" w:hAnsi="Arial" w:cs="Arial"/>
          <w:sz w:val="24"/>
          <w:szCs w:val="24"/>
          <w:lang w:eastAsia="pl-PL"/>
        </w:rPr>
        <w:t>a także ich wycenę i ewentualną korektę danych w ewidencji księgowej.</w:t>
      </w:r>
    </w:p>
    <w:p w:rsidR="0064684B" w:rsidRPr="0011357E" w:rsidRDefault="0064684B" w:rsidP="0064684B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11357E">
        <w:rPr>
          <w:rFonts w:ascii="Arial" w:eastAsia="Times New Roman" w:hAnsi="Arial" w:cs="Arial"/>
          <w:sz w:val="24"/>
          <w:szCs w:val="24"/>
          <w:lang w:eastAsia="pl-PL"/>
        </w:rPr>
        <w:t>W skrócie inwentaryzacja oznacza spisanie tego, co organizacja posiada na swoim stanie (np. sprzęt komputerowy, ksero, pieniądze na koncie itd.), oraz sprawdzenie, czy odpowiada to zapisom w jej ewidencji księgowej. Nie inwentaryzujemy, np. prywatnego laptopa i telefonu, których zarząd używa do załatwiania spraw fundacji, ale gdyby te sprzęty były kupione przez fundację lub używane przez nią np. na podstawie umowy użyczenia to już powinny zostać zinwentaryzowane.</w:t>
      </w:r>
    </w:p>
    <w:p w:rsidR="0064684B" w:rsidRPr="0011357E" w:rsidRDefault="0064684B" w:rsidP="0064684B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11357E">
        <w:rPr>
          <w:rFonts w:ascii="Arial" w:eastAsia="Times New Roman" w:hAnsi="Arial" w:cs="Arial"/>
          <w:sz w:val="24"/>
          <w:szCs w:val="24"/>
          <w:lang w:eastAsia="pl-PL"/>
        </w:rPr>
        <w:t>Trzeba również pamiętać, że obowiązek inwentaryzacji nie zależy od źródła pochodzenia majątku, tak samo podlegają inwentaryzacji sprzęty, które organizacja dostaje jako dary, jak i te, które zakupi.</w:t>
      </w:r>
    </w:p>
    <w:p w:rsidR="0064684B" w:rsidRPr="0011357E" w:rsidRDefault="0064684B" w:rsidP="0064684B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11357E">
        <w:rPr>
          <w:rFonts w:ascii="Arial" w:eastAsia="Times New Roman" w:hAnsi="Arial" w:cs="Arial"/>
          <w:sz w:val="24"/>
          <w:szCs w:val="24"/>
          <w:lang w:eastAsia="pl-PL"/>
        </w:rPr>
        <w:t xml:space="preserve">Inwentaryzacja służy również do rozliczenia osób materialnie odpowiedzialnych </w:t>
      </w:r>
      <w:r>
        <w:rPr>
          <w:rFonts w:ascii="Arial" w:eastAsia="Times New Roman" w:hAnsi="Arial" w:cs="Arial"/>
          <w:sz w:val="24"/>
          <w:szCs w:val="24"/>
          <w:lang w:eastAsia="pl-PL"/>
        </w:rPr>
        <w:br/>
      </w:r>
      <w:r w:rsidRPr="0011357E">
        <w:rPr>
          <w:rFonts w:ascii="Arial" w:eastAsia="Times New Roman" w:hAnsi="Arial" w:cs="Arial"/>
          <w:sz w:val="24"/>
          <w:szCs w:val="24"/>
          <w:lang w:eastAsia="pl-PL"/>
        </w:rPr>
        <w:t>za powierzony im majątek, czyli np. kasjera/skarbnika, magazyniera – chodzi tu o osoby, które podpisały oświadczenie o przyjęciu odpowiedzialności materialnej, a nie o organ statutowy, który odpowiada za całość majątku organizacji (zarząd). Wszystkie kompletnie wykonane czynności inwentaryzacyjne mają istotny wpływ na późniejsze prawidłowe sporządzenie sprawozdania finansowego organizacji.</w:t>
      </w:r>
    </w:p>
    <w:p w:rsidR="0064684B" w:rsidRPr="0011357E" w:rsidRDefault="0064684B" w:rsidP="0064684B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11357E">
        <w:rPr>
          <w:rFonts w:ascii="Arial" w:eastAsia="Times New Roman" w:hAnsi="Arial" w:cs="Arial"/>
          <w:sz w:val="24"/>
          <w:szCs w:val="24"/>
          <w:lang w:eastAsia="pl-PL"/>
        </w:rPr>
        <w:t xml:space="preserve">Termin inwentaryzacji związany jest z końcem roku obrotowego. Ponieważ </w:t>
      </w:r>
      <w:r>
        <w:rPr>
          <w:rFonts w:ascii="Arial" w:eastAsia="Times New Roman" w:hAnsi="Arial" w:cs="Arial"/>
          <w:sz w:val="24"/>
          <w:szCs w:val="24"/>
          <w:lang w:eastAsia="pl-PL"/>
        </w:rPr>
        <w:br/>
      </w:r>
      <w:r w:rsidRPr="0011357E">
        <w:rPr>
          <w:rFonts w:ascii="Arial" w:eastAsia="Times New Roman" w:hAnsi="Arial" w:cs="Arial"/>
          <w:sz w:val="24"/>
          <w:szCs w:val="24"/>
          <w:lang w:eastAsia="pl-PL"/>
        </w:rPr>
        <w:t>w większości organizacji rok obrotowy równa się rokowi kalendarzowemu, inwentaryzację należy przeprowadzić o okresie między 1 października a 15 stycznia roku następnego. Obowiązek ten zachodzi również na dzień zakończenia działalności przez organizację, dzień poprzedzający postawienie jej w stan likwidacji oraz dzień poprzedzający ogłoszenie jej upadłości.</w:t>
      </w:r>
    </w:p>
    <w:p w:rsidR="0064684B" w:rsidRPr="0011357E" w:rsidRDefault="0064684B" w:rsidP="0064684B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11357E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Kto odpowiada za inwentaryzację</w:t>
      </w:r>
    </w:p>
    <w:p w:rsidR="0064684B" w:rsidRPr="0011357E" w:rsidRDefault="0064684B" w:rsidP="0064684B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11357E">
        <w:rPr>
          <w:rFonts w:ascii="Arial" w:eastAsia="Times New Roman" w:hAnsi="Arial" w:cs="Arial"/>
          <w:sz w:val="24"/>
          <w:szCs w:val="24"/>
          <w:lang w:eastAsia="pl-PL"/>
        </w:rPr>
        <w:t>Okresowe ustalanie lub sprawdzanie rzeczywistego stanu aktywów i pasywów drogą inwentaryzacji stanowi jeden z elementów rachunkowości organizacji pozarządowych, określonych w art. 4 ust. 3 ustawy o rachunkowości. Odpowiedzialność za jej przeprowadzenie, podobnie jak za prowadzenie ksiąg rachunkowych, ponosi kierownik jednostki, w przypadku organizacji pozarządowej – zarząd. Za niedopełnienie tego obowiązku może on zostać ukarany grzywną albo karą pozbawienia wolności do lat 2, albo obiema tymi karami łącznie (art. 77 ustawy o rachunkowości).</w:t>
      </w:r>
    </w:p>
    <w:p w:rsidR="0064684B" w:rsidRPr="0011357E" w:rsidRDefault="0064684B" w:rsidP="0064684B">
      <w:pPr>
        <w:spacing w:before="100" w:beforeAutospacing="1" w:after="100" w:afterAutospacing="1" w:line="240" w:lineRule="auto"/>
        <w:jc w:val="both"/>
        <w:outlineLvl w:val="2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11357E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Amortyzacja</w:t>
      </w:r>
    </w:p>
    <w:p w:rsidR="0064684B" w:rsidRPr="0011357E" w:rsidRDefault="0064684B" w:rsidP="0064684B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11357E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Jakie są zasady amortyzacji w polityce rachunkowości</w:t>
      </w:r>
    </w:p>
    <w:p w:rsidR="0064684B" w:rsidRPr="0011357E" w:rsidRDefault="0064684B" w:rsidP="0064684B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11357E">
        <w:rPr>
          <w:rFonts w:ascii="Arial" w:eastAsia="Times New Roman" w:hAnsi="Arial" w:cs="Arial"/>
          <w:sz w:val="24"/>
          <w:szCs w:val="24"/>
          <w:lang w:eastAsia="pl-PL"/>
        </w:rPr>
        <w:t xml:space="preserve">Najpierw określamy wybór przyjętej metody amortyzacji środków trwałych oraz wartości niematerialnych i prawnych, a także sposób ustalania stawek. Ponadto określić trzeba przedmioty lub prawa o niskiej jednostkowej wartości początkowej, które nie będą zaliczane do środków trwałych, względnie wartości niematerialnych </w:t>
      </w:r>
      <w:r>
        <w:rPr>
          <w:rFonts w:ascii="Arial" w:eastAsia="Times New Roman" w:hAnsi="Arial" w:cs="Arial"/>
          <w:sz w:val="24"/>
          <w:szCs w:val="24"/>
          <w:lang w:eastAsia="pl-PL"/>
        </w:rPr>
        <w:br/>
      </w:r>
      <w:r w:rsidRPr="0011357E">
        <w:rPr>
          <w:rFonts w:ascii="Arial" w:eastAsia="Times New Roman" w:hAnsi="Arial" w:cs="Arial"/>
          <w:sz w:val="24"/>
          <w:szCs w:val="24"/>
          <w:lang w:eastAsia="pl-PL"/>
        </w:rPr>
        <w:t xml:space="preserve">i prawnych oraz odrębnie te przedmioty lub tytuły praw, które będą objęte ewidencją środków trwałych, względnie wartości niematerialnych i prawnych, ze wskazaniem sposobu ich amortyzowania (przez dokonywanie zbiorczych odpisów dla grup </w:t>
      </w:r>
      <w:r w:rsidRPr="0011357E">
        <w:rPr>
          <w:rFonts w:ascii="Arial" w:eastAsia="Times New Roman" w:hAnsi="Arial" w:cs="Arial"/>
          <w:sz w:val="24"/>
          <w:szCs w:val="24"/>
          <w:lang w:eastAsia="pl-PL"/>
        </w:rPr>
        <w:lastRenderedPageBreak/>
        <w:t>przedmiotów zbliżonych rodzajem i przeznaczeniem lub jednorazowo w pełnej ich wartości początkowej).</w:t>
      </w:r>
    </w:p>
    <w:p w:rsidR="0064684B" w:rsidRPr="0011357E" w:rsidRDefault="0064684B" w:rsidP="0064684B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11357E">
        <w:rPr>
          <w:rFonts w:ascii="Arial" w:eastAsia="Times New Roman" w:hAnsi="Arial" w:cs="Arial"/>
          <w:sz w:val="24"/>
          <w:szCs w:val="24"/>
          <w:lang w:eastAsia="pl-PL"/>
        </w:rPr>
        <w:t>Ustalając zakładowy plan kont, powinniśmy też określić, do jakiej kategorii zaliczamy przedmioty o niskiej jednostkowej wartości początkowej, uwzględniając wartość początkową i okres używania:</w:t>
      </w:r>
    </w:p>
    <w:p w:rsidR="0064684B" w:rsidRPr="0011357E" w:rsidRDefault="0064684B" w:rsidP="0064684B">
      <w:pPr>
        <w:numPr>
          <w:ilvl w:val="0"/>
          <w:numId w:val="7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11357E">
        <w:rPr>
          <w:rFonts w:ascii="Arial" w:eastAsia="Times New Roman" w:hAnsi="Arial" w:cs="Arial"/>
          <w:sz w:val="24"/>
          <w:szCs w:val="24"/>
          <w:lang w:eastAsia="pl-PL"/>
        </w:rPr>
        <w:t>Środki trwałe objęte ewidencją bilansową i amortyzowane.</w:t>
      </w:r>
    </w:p>
    <w:p w:rsidR="0064684B" w:rsidRPr="0011357E" w:rsidRDefault="0064684B" w:rsidP="0064684B">
      <w:pPr>
        <w:numPr>
          <w:ilvl w:val="0"/>
          <w:numId w:val="7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11357E">
        <w:rPr>
          <w:rFonts w:ascii="Arial" w:eastAsia="Times New Roman" w:hAnsi="Arial" w:cs="Arial"/>
          <w:sz w:val="24"/>
          <w:szCs w:val="24"/>
          <w:lang w:eastAsia="pl-PL"/>
        </w:rPr>
        <w:t>Pozostałe środki trwałe – jednorazowo odpisywane w koszty w pełnej wartości w momencie oddawania ich do użytkowania.</w:t>
      </w:r>
    </w:p>
    <w:p w:rsidR="0064684B" w:rsidRPr="0011357E" w:rsidRDefault="0064684B" w:rsidP="0064684B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11357E">
        <w:rPr>
          <w:rFonts w:ascii="Arial" w:eastAsia="Times New Roman" w:hAnsi="Arial" w:cs="Arial"/>
          <w:sz w:val="24"/>
          <w:szCs w:val="24"/>
          <w:lang w:eastAsia="pl-PL"/>
        </w:rPr>
        <w:t>W zakładowym planie kont powinniśmy też ustalić, czy środki trwałe niewymagające montażu lub innych czynności związanych z dostosowaniem ich do użytkowania będą wprowadzane do ewidencji bezpośrednio w korespondencji z kontem służącym do ewidencji i rozliczenia zakupów (np. kontem 300 „Rozliczenie zakupu”) czy też za pośrednictwem konta 080 „Środki trwałe w budowie”.</w:t>
      </w:r>
    </w:p>
    <w:p w:rsidR="0064684B" w:rsidRPr="0011357E" w:rsidRDefault="0064684B" w:rsidP="0064684B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11357E">
        <w:rPr>
          <w:rFonts w:ascii="Arial" w:eastAsia="Times New Roman" w:hAnsi="Arial" w:cs="Arial"/>
          <w:sz w:val="24"/>
          <w:szCs w:val="24"/>
          <w:lang w:eastAsia="pl-PL"/>
        </w:rPr>
        <w:t>Nie oznacza to jednak, że członkowie zarządu osobiście i samodzielnie mają dokonać inwentaryzacji. Zarząd powinien upoważnić do tej czynności swoich pracowników lub członków organizacji, lub np. zewnętrzną firmę.</w:t>
      </w:r>
    </w:p>
    <w:p w:rsidR="0064684B" w:rsidRPr="0011357E" w:rsidRDefault="0064684B" w:rsidP="0064684B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11357E">
        <w:rPr>
          <w:rFonts w:ascii="Arial" w:eastAsia="Times New Roman" w:hAnsi="Arial" w:cs="Arial"/>
          <w:sz w:val="24"/>
          <w:szCs w:val="24"/>
          <w:lang w:eastAsia="pl-PL"/>
        </w:rPr>
        <w:t xml:space="preserve">Ponieważ ustawa o rachunkowości nie określa szczegółowo, jak organizować </w:t>
      </w:r>
      <w:r>
        <w:rPr>
          <w:rFonts w:ascii="Arial" w:eastAsia="Times New Roman" w:hAnsi="Arial" w:cs="Arial"/>
          <w:sz w:val="24"/>
          <w:szCs w:val="24"/>
          <w:lang w:eastAsia="pl-PL"/>
        </w:rPr>
        <w:br/>
      </w:r>
      <w:r w:rsidRPr="0011357E">
        <w:rPr>
          <w:rFonts w:ascii="Arial" w:eastAsia="Times New Roman" w:hAnsi="Arial" w:cs="Arial"/>
          <w:sz w:val="24"/>
          <w:szCs w:val="24"/>
          <w:lang w:eastAsia="pl-PL"/>
        </w:rPr>
        <w:t>i przeprowadzić inwentaryzację, czynności związane z jej przebiegiem powinny zostać wcześniej ustalone przez zarząd (w uchwale lub instrukcji inwentaryzacyjnej). Procedury inwentaryzacyjne można też zawrzeć w polityce rachunkowości organizacji.</w:t>
      </w:r>
    </w:p>
    <w:p w:rsidR="0064684B" w:rsidRPr="0011357E" w:rsidRDefault="0064684B" w:rsidP="0064684B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11357E">
        <w:rPr>
          <w:rFonts w:ascii="Arial" w:eastAsia="Times New Roman" w:hAnsi="Arial" w:cs="Arial"/>
          <w:sz w:val="24"/>
          <w:szCs w:val="24"/>
          <w:lang w:eastAsia="pl-PL"/>
        </w:rPr>
        <w:t>Przyjęte rozwiązanie zależy od potrzeb i wielkości majątku organizacji.</w:t>
      </w:r>
    </w:p>
    <w:p w:rsidR="0064684B" w:rsidRDefault="0064684B" w:rsidP="0064684B">
      <w:pPr>
        <w:jc w:val="both"/>
        <w:rPr>
          <w:rFonts w:ascii="Arial" w:hAnsi="Arial" w:cs="Arial"/>
          <w:sz w:val="24"/>
          <w:szCs w:val="24"/>
        </w:rPr>
      </w:pPr>
    </w:p>
    <w:p w:rsidR="0064684B" w:rsidRPr="0011357E" w:rsidRDefault="0064684B" w:rsidP="0064684B">
      <w:pPr>
        <w:jc w:val="both"/>
        <w:rPr>
          <w:rFonts w:ascii="Arial" w:hAnsi="Arial" w:cs="Arial"/>
          <w:sz w:val="24"/>
          <w:szCs w:val="24"/>
        </w:rPr>
      </w:pPr>
    </w:p>
    <w:p w:rsidR="00E06E8F" w:rsidRDefault="00E06E8F" w:rsidP="00E06E8F">
      <w:pPr>
        <w:spacing w:before="100" w:beforeAutospacing="1" w:after="100" w:afterAutospacing="1" w:line="240" w:lineRule="auto"/>
        <w:jc w:val="both"/>
        <w:outlineLvl w:val="1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</w:p>
    <w:p w:rsidR="00E06E8F" w:rsidRPr="00E06E8F" w:rsidRDefault="00E06E8F" w:rsidP="00E06E8F">
      <w:pPr>
        <w:spacing w:before="100" w:beforeAutospacing="1" w:after="100" w:afterAutospacing="1" w:line="240" w:lineRule="auto"/>
        <w:jc w:val="both"/>
        <w:outlineLvl w:val="1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E06E8F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Co to jest zakładowy plan kont</w:t>
      </w:r>
    </w:p>
    <w:p w:rsidR="00E06E8F" w:rsidRPr="00E06E8F" w:rsidRDefault="00E06E8F" w:rsidP="00E06E8F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E06E8F">
        <w:rPr>
          <w:rFonts w:ascii="Arial" w:eastAsia="Times New Roman" w:hAnsi="Arial" w:cs="Arial"/>
          <w:sz w:val="24"/>
          <w:szCs w:val="24"/>
          <w:lang w:eastAsia="pl-PL"/>
        </w:rPr>
        <w:t>Według zakładowego planu kont księguje się poszczególne operacje finansowe. Plan kont jest częścią składową systemu rachunkowości. Należy traktować go jako niezbędne narzędzie dostarczające niezbędnych informacji do zarządzania organizacją i dokonywania rozliczeń finansowych np. z darczyńcami.</w:t>
      </w:r>
    </w:p>
    <w:p w:rsidR="00E06E8F" w:rsidRPr="00E06E8F" w:rsidRDefault="00E06E8F" w:rsidP="00E06E8F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E06E8F">
        <w:rPr>
          <w:rFonts w:ascii="Arial" w:eastAsia="Times New Roman" w:hAnsi="Arial" w:cs="Arial"/>
          <w:sz w:val="24"/>
          <w:szCs w:val="24"/>
          <w:lang w:eastAsia="pl-PL"/>
        </w:rPr>
        <w:t>Zakładowy plan kont składa się z księgi głównej (konta syntetyczne) i kont pomocniczych (analitycznych).</w:t>
      </w:r>
    </w:p>
    <w:p w:rsidR="00E06E8F" w:rsidRPr="00E06E8F" w:rsidRDefault="00E06E8F" w:rsidP="00E06E8F">
      <w:pPr>
        <w:jc w:val="both"/>
        <w:rPr>
          <w:rFonts w:ascii="Arial" w:hAnsi="Arial" w:cs="Arial"/>
          <w:sz w:val="24"/>
          <w:szCs w:val="24"/>
        </w:rPr>
      </w:pPr>
    </w:p>
    <w:p w:rsidR="00E06E8F" w:rsidRPr="00E06E8F" w:rsidRDefault="00E06E8F" w:rsidP="00E06E8F">
      <w:pPr>
        <w:spacing w:before="100" w:beforeAutospacing="1" w:after="100" w:afterAutospacing="1" w:line="240" w:lineRule="auto"/>
        <w:jc w:val="both"/>
        <w:outlineLvl w:val="1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E06E8F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Księga główna</w:t>
      </w:r>
    </w:p>
    <w:p w:rsidR="00E06E8F" w:rsidRPr="00E06E8F" w:rsidRDefault="00E06E8F" w:rsidP="00E06E8F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E06E8F">
        <w:rPr>
          <w:rFonts w:ascii="Arial" w:eastAsia="Times New Roman" w:hAnsi="Arial" w:cs="Arial"/>
          <w:sz w:val="24"/>
          <w:szCs w:val="24"/>
          <w:lang w:eastAsia="pl-PL"/>
        </w:rPr>
        <w:t>Wykaz kont księgi głównej (syntetycznych) ustala się z uwzględnieniem:</w:t>
      </w:r>
    </w:p>
    <w:p w:rsidR="00E06E8F" w:rsidRPr="00E06E8F" w:rsidRDefault="00E06E8F" w:rsidP="00E06E8F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E06E8F">
        <w:rPr>
          <w:rFonts w:ascii="Arial" w:eastAsia="Times New Roman" w:hAnsi="Arial" w:cs="Arial"/>
          <w:sz w:val="24"/>
          <w:szCs w:val="24"/>
          <w:lang w:eastAsia="pl-PL"/>
        </w:rPr>
        <w:lastRenderedPageBreak/>
        <w:t>specyfiki działalności organizacji poprzez takie ujęcie przychodów i kosztów, które z łatwością pozwoli na przypisanie ich do konkretnego sponsora;</w:t>
      </w:r>
    </w:p>
    <w:p w:rsidR="00E06E8F" w:rsidRPr="00E06E8F" w:rsidRDefault="00E06E8F" w:rsidP="00E06E8F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E06E8F">
        <w:rPr>
          <w:rFonts w:ascii="Arial" w:eastAsia="Times New Roman" w:hAnsi="Arial" w:cs="Arial"/>
          <w:sz w:val="24"/>
          <w:szCs w:val="24"/>
          <w:lang w:eastAsia="pl-PL"/>
        </w:rPr>
        <w:t>przyjętego sposobu wyceny;</w:t>
      </w:r>
    </w:p>
    <w:p w:rsidR="00E06E8F" w:rsidRPr="00E06E8F" w:rsidRDefault="00E06E8F" w:rsidP="00E06E8F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E06E8F">
        <w:rPr>
          <w:rFonts w:ascii="Arial" w:eastAsia="Times New Roman" w:hAnsi="Arial" w:cs="Arial"/>
          <w:sz w:val="24"/>
          <w:szCs w:val="24"/>
          <w:lang w:eastAsia="pl-PL"/>
        </w:rPr>
        <w:t xml:space="preserve">wymogów dotyczących dokonywania odpisów aktualizujących wartość aktywów z uwagi na utraconą przez nie całość lub część wartości, po której figurują </w:t>
      </w:r>
      <w:r w:rsidR="0064684B">
        <w:rPr>
          <w:rFonts w:ascii="Arial" w:eastAsia="Times New Roman" w:hAnsi="Arial" w:cs="Arial"/>
          <w:sz w:val="24"/>
          <w:szCs w:val="24"/>
          <w:lang w:eastAsia="pl-PL"/>
        </w:rPr>
        <w:br/>
      </w:r>
      <w:r w:rsidRPr="00E06E8F">
        <w:rPr>
          <w:rFonts w:ascii="Arial" w:eastAsia="Times New Roman" w:hAnsi="Arial" w:cs="Arial"/>
          <w:sz w:val="24"/>
          <w:szCs w:val="24"/>
          <w:lang w:eastAsia="pl-PL"/>
        </w:rPr>
        <w:t>w księgach;</w:t>
      </w:r>
    </w:p>
    <w:p w:rsidR="00E06E8F" w:rsidRPr="00E06E8F" w:rsidRDefault="00E06E8F" w:rsidP="00E06E8F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E06E8F">
        <w:rPr>
          <w:rFonts w:ascii="Arial" w:eastAsia="Times New Roman" w:hAnsi="Arial" w:cs="Arial"/>
          <w:sz w:val="24"/>
          <w:szCs w:val="24"/>
          <w:lang w:eastAsia="pl-PL"/>
        </w:rPr>
        <w:t>ujęcia danych liczbowych w przekroju umożliwiającym przejście od bieżącej ewidencji do sporządzenia sprawozdań finansowych: bilansu oraz rachunku zysków i strat;</w:t>
      </w:r>
    </w:p>
    <w:p w:rsidR="00E06E8F" w:rsidRPr="00E06E8F" w:rsidRDefault="00E06E8F" w:rsidP="00E06E8F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E06E8F">
        <w:rPr>
          <w:rFonts w:ascii="Arial" w:eastAsia="Times New Roman" w:hAnsi="Arial" w:cs="Arial"/>
          <w:sz w:val="24"/>
          <w:szCs w:val="24"/>
          <w:lang w:eastAsia="pl-PL"/>
        </w:rPr>
        <w:t>możliwości sporządzania sprawozdań m.in. podatkowych i statystycznych (GUS),</w:t>
      </w:r>
    </w:p>
    <w:p w:rsidR="00E06E8F" w:rsidRPr="00E06E8F" w:rsidRDefault="00E06E8F" w:rsidP="00E06E8F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E06E8F">
        <w:rPr>
          <w:rFonts w:ascii="Arial" w:eastAsia="Times New Roman" w:hAnsi="Arial" w:cs="Arial"/>
          <w:sz w:val="24"/>
          <w:szCs w:val="24"/>
          <w:lang w:eastAsia="pl-PL"/>
        </w:rPr>
        <w:t>Jeżeli organizacja nie prowadzi działalności gospodarczej, można stosować minimalny układ kont, o symbolice dwucyfrowej. Mimo to większość organizacji prowadzi konta w technice trzycyfrowej.</w:t>
      </w:r>
    </w:p>
    <w:p w:rsidR="00E06E8F" w:rsidRPr="00E06E8F" w:rsidRDefault="00E06E8F" w:rsidP="00E06E8F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E06E8F">
        <w:rPr>
          <w:rFonts w:ascii="Arial" w:eastAsia="Times New Roman" w:hAnsi="Arial" w:cs="Arial"/>
          <w:sz w:val="24"/>
          <w:szCs w:val="24"/>
          <w:lang w:eastAsia="pl-PL"/>
        </w:rPr>
        <w:t xml:space="preserve">Choć obowiązek taki nie wynika z przepisów ustawy, celowe jest, aby w planie kont określić zasady ewidencji i rozliczania kosztów. Rzutuje to bowiem na wykaz kont </w:t>
      </w:r>
      <w:r w:rsidR="0064684B">
        <w:rPr>
          <w:rFonts w:ascii="Arial" w:eastAsia="Times New Roman" w:hAnsi="Arial" w:cs="Arial"/>
          <w:sz w:val="24"/>
          <w:szCs w:val="24"/>
          <w:lang w:eastAsia="pl-PL"/>
        </w:rPr>
        <w:br/>
      </w:r>
      <w:r w:rsidRPr="00E06E8F">
        <w:rPr>
          <w:rFonts w:ascii="Arial" w:eastAsia="Times New Roman" w:hAnsi="Arial" w:cs="Arial"/>
          <w:sz w:val="24"/>
          <w:szCs w:val="24"/>
          <w:lang w:eastAsia="pl-PL"/>
        </w:rPr>
        <w:t>i przesądza o postaci rachunku zysków.</w:t>
      </w:r>
    </w:p>
    <w:p w:rsidR="00E06E8F" w:rsidRPr="00E06E8F" w:rsidRDefault="00E06E8F" w:rsidP="00E06E8F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E06E8F">
        <w:rPr>
          <w:rFonts w:ascii="Arial" w:eastAsia="Times New Roman" w:hAnsi="Arial" w:cs="Arial"/>
          <w:sz w:val="24"/>
          <w:szCs w:val="24"/>
          <w:lang w:eastAsia="pl-PL"/>
        </w:rPr>
        <w:t>Można przyjąć jeden spośród trzech sposobów ujmowania i rozliczania kosztów działalności, gromadząc je:</w:t>
      </w:r>
    </w:p>
    <w:p w:rsidR="00E06E8F" w:rsidRPr="00E06E8F" w:rsidRDefault="00E06E8F" w:rsidP="00E06E8F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E06E8F">
        <w:rPr>
          <w:rFonts w:ascii="Arial" w:eastAsia="Times New Roman" w:hAnsi="Arial" w:cs="Arial"/>
          <w:sz w:val="24"/>
          <w:szCs w:val="24"/>
          <w:lang w:eastAsia="pl-PL"/>
        </w:rPr>
        <w:t>tylko według rodzajów – na kontach zespołu 4,</w:t>
      </w:r>
    </w:p>
    <w:p w:rsidR="00E06E8F" w:rsidRPr="00E06E8F" w:rsidRDefault="00E06E8F" w:rsidP="00E06E8F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E06E8F">
        <w:rPr>
          <w:rFonts w:ascii="Arial" w:eastAsia="Times New Roman" w:hAnsi="Arial" w:cs="Arial"/>
          <w:sz w:val="24"/>
          <w:szCs w:val="24"/>
          <w:lang w:eastAsia="pl-PL"/>
        </w:rPr>
        <w:t>tylko według typów, rodzajów i odmian działalności, tzn. według funkcji – na odpowiednich kontach zespołu 5,</w:t>
      </w:r>
    </w:p>
    <w:p w:rsidR="00E06E8F" w:rsidRPr="00E06E8F" w:rsidRDefault="00E06E8F" w:rsidP="00E06E8F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E06E8F">
        <w:rPr>
          <w:rFonts w:ascii="Arial" w:eastAsia="Times New Roman" w:hAnsi="Arial" w:cs="Arial"/>
          <w:sz w:val="24"/>
          <w:szCs w:val="24"/>
          <w:lang w:eastAsia="pl-PL"/>
        </w:rPr>
        <w:t>z ewentualnym dalszym ich podziałem w ramach każdego konta – według rodzajów,</w:t>
      </w:r>
    </w:p>
    <w:p w:rsidR="00E06E8F" w:rsidRPr="00E06E8F" w:rsidRDefault="00E06E8F" w:rsidP="00E06E8F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E06E8F">
        <w:rPr>
          <w:rFonts w:ascii="Arial" w:eastAsia="Times New Roman" w:hAnsi="Arial" w:cs="Arial"/>
          <w:sz w:val="24"/>
          <w:szCs w:val="24"/>
          <w:lang w:eastAsia="pl-PL"/>
        </w:rPr>
        <w:t>według rodzajów – na kontach zespołu 4 i równocześnie według funkcji – na kontach zespołu 5.</w:t>
      </w:r>
    </w:p>
    <w:p w:rsidR="00E06E8F" w:rsidRPr="00E06E8F" w:rsidRDefault="00E06E8F" w:rsidP="00E06E8F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E06E8F">
        <w:rPr>
          <w:rFonts w:ascii="Arial" w:eastAsia="Times New Roman" w:hAnsi="Arial" w:cs="Arial"/>
          <w:sz w:val="24"/>
          <w:szCs w:val="24"/>
          <w:lang w:eastAsia="pl-PL"/>
        </w:rPr>
        <w:t>Przyjmując sposób pierwszy lub trzeci powinniśmy dostosować układ rodzajowy kosztów do specyfiki działalności organizacji, zachowując co najmniej podział kosztów na koszty rodzajowe administracyjne oraz statutowe. W miarę potrzeby, gdy organizacja realizuje coraz więcej projektów, może być wskazane uszczegółowienie układu rodzajowego kosztów, co przy prowadzeniu ksiąg za pomocą komputera nie powinno być kłopotliwe.</w:t>
      </w:r>
    </w:p>
    <w:p w:rsidR="00E06E8F" w:rsidRPr="00E06E8F" w:rsidRDefault="00E06E8F" w:rsidP="00E06E8F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E06E8F">
        <w:rPr>
          <w:rFonts w:ascii="Arial" w:eastAsia="Times New Roman" w:hAnsi="Arial" w:cs="Arial"/>
          <w:sz w:val="24"/>
          <w:szCs w:val="24"/>
          <w:lang w:eastAsia="pl-PL"/>
        </w:rPr>
        <w:t>Ewidencja i rozliczanie kosztów przy zastosowaniu kont zespołu 5 jest najbardziej wskazana, gdy charakter, rozmiary lub organizacja wewnętrzna działalności wymagają podziału kosztów według odmian, rodzajów i typów działalności i oddziałów.</w:t>
      </w:r>
    </w:p>
    <w:p w:rsidR="00E06E8F" w:rsidRPr="00E06E8F" w:rsidRDefault="00E06E8F" w:rsidP="00E06E8F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E06E8F">
        <w:rPr>
          <w:rFonts w:ascii="Arial" w:eastAsia="Times New Roman" w:hAnsi="Arial" w:cs="Arial"/>
          <w:sz w:val="24"/>
          <w:szCs w:val="24"/>
          <w:lang w:eastAsia="pl-PL"/>
        </w:rPr>
        <w:t>Następnie określamy zasady prowadzenia kont pomocniczych powiązanych z kontami księgi głównej (Plan kont).</w:t>
      </w:r>
    </w:p>
    <w:p w:rsidR="00E06E8F" w:rsidRDefault="00E06E8F" w:rsidP="00E06E8F">
      <w:pPr>
        <w:spacing w:before="100" w:beforeAutospacing="1" w:after="100" w:afterAutospacing="1" w:line="240" w:lineRule="auto"/>
        <w:jc w:val="both"/>
        <w:outlineLvl w:val="1"/>
        <w:rPr>
          <w:rFonts w:ascii="Arial" w:eastAsia="Times New Roman" w:hAnsi="Arial" w:cs="Arial"/>
          <w:sz w:val="24"/>
          <w:szCs w:val="24"/>
          <w:lang w:eastAsia="pl-PL"/>
        </w:rPr>
      </w:pPr>
    </w:p>
    <w:p w:rsidR="0064684B" w:rsidRDefault="0064684B" w:rsidP="00E06E8F">
      <w:pPr>
        <w:spacing w:before="100" w:beforeAutospacing="1" w:after="100" w:afterAutospacing="1" w:line="240" w:lineRule="auto"/>
        <w:jc w:val="both"/>
        <w:outlineLvl w:val="1"/>
        <w:rPr>
          <w:rFonts w:ascii="Arial" w:eastAsia="Times New Roman" w:hAnsi="Arial" w:cs="Arial"/>
          <w:sz w:val="24"/>
          <w:szCs w:val="24"/>
          <w:lang w:eastAsia="pl-PL"/>
        </w:rPr>
      </w:pPr>
    </w:p>
    <w:p w:rsidR="00E06E8F" w:rsidRPr="00E06E8F" w:rsidRDefault="00E06E8F" w:rsidP="00E06E8F">
      <w:pPr>
        <w:spacing w:before="100" w:beforeAutospacing="1" w:after="100" w:afterAutospacing="1" w:line="240" w:lineRule="auto"/>
        <w:jc w:val="both"/>
        <w:outlineLvl w:val="1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E06E8F">
        <w:rPr>
          <w:rFonts w:ascii="Arial" w:eastAsia="Times New Roman" w:hAnsi="Arial" w:cs="Arial"/>
          <w:b/>
          <w:bCs/>
          <w:sz w:val="24"/>
          <w:szCs w:val="24"/>
          <w:lang w:eastAsia="pl-PL"/>
        </w:rPr>
        <w:lastRenderedPageBreak/>
        <w:t>Plan kont</w:t>
      </w:r>
    </w:p>
    <w:p w:rsidR="00E06E8F" w:rsidRPr="00E06E8F" w:rsidRDefault="00E06E8F" w:rsidP="00E06E8F">
      <w:pPr>
        <w:pStyle w:val="NormalnyWeb"/>
        <w:jc w:val="both"/>
        <w:rPr>
          <w:rFonts w:ascii="Arial" w:hAnsi="Arial" w:cs="Arial"/>
        </w:rPr>
      </w:pPr>
      <w:r w:rsidRPr="00E06E8F">
        <w:rPr>
          <w:rFonts w:ascii="Arial" w:hAnsi="Arial" w:cs="Arial"/>
        </w:rPr>
        <w:t>Główną częścią polityki rachunkowości jest plan kont. Powinien być on założony zgodnie z obowiązującą ustawą o rachunkowości, ale również powinien odzwierciedlać działalność danej organizacji. Wszelkie istotne zmiany (poza rozbudowywaniem analityki) dotyczące sposobu księgowania powinny być dokonane na piśmie jako aneks do zatwierdzonego planu kont i podpisane przez osoby do tego uprawnione zgodnie z zapisami statutu.</w:t>
      </w:r>
    </w:p>
    <w:p w:rsidR="00E06E8F" w:rsidRPr="00E06E8F" w:rsidRDefault="00E06E8F" w:rsidP="00E06E8F">
      <w:pPr>
        <w:pStyle w:val="NormalnyWeb"/>
        <w:jc w:val="both"/>
        <w:rPr>
          <w:rFonts w:ascii="Arial" w:hAnsi="Arial" w:cs="Arial"/>
        </w:rPr>
      </w:pPr>
      <w:r w:rsidRPr="00E06E8F">
        <w:rPr>
          <w:rStyle w:val="Pogrubienie"/>
          <w:rFonts w:ascii="Arial" w:hAnsi="Arial" w:cs="Arial"/>
        </w:rPr>
        <w:t>Plan kont to numeryczny wykaz kont księgowych, czyli zbiorów, w których rejestrowane są dane finansowe.</w:t>
      </w:r>
    </w:p>
    <w:p w:rsidR="00E06E8F" w:rsidRPr="00E06E8F" w:rsidRDefault="00E06E8F" w:rsidP="00E06E8F">
      <w:pPr>
        <w:pStyle w:val="NormalnyWeb"/>
        <w:jc w:val="both"/>
        <w:rPr>
          <w:rFonts w:ascii="Arial" w:hAnsi="Arial" w:cs="Arial"/>
        </w:rPr>
      </w:pPr>
      <w:r w:rsidRPr="00E06E8F">
        <w:rPr>
          <w:rFonts w:ascii="Arial" w:hAnsi="Arial" w:cs="Arial"/>
        </w:rPr>
        <w:t>Zbiory te pozwalają na ewidencjonowanie i uszeregowanie wszystkich operacji finansowych w organizacji. Plan kont składa się z kont podstawowych – syntetycznych, które określają główne grupy operacji finansowych oraz kont analitycznych, które pozwalają uszczegółowić zapisy na koncie syntetycznym.</w:t>
      </w:r>
    </w:p>
    <w:p w:rsidR="00E06E8F" w:rsidRPr="00E06E8F" w:rsidRDefault="00E06E8F" w:rsidP="00E06E8F">
      <w:pPr>
        <w:pStyle w:val="NormalnyWeb"/>
        <w:jc w:val="both"/>
        <w:rPr>
          <w:rFonts w:ascii="Arial" w:hAnsi="Arial" w:cs="Arial"/>
        </w:rPr>
      </w:pPr>
      <w:r w:rsidRPr="00E06E8F">
        <w:rPr>
          <w:rFonts w:ascii="Arial" w:hAnsi="Arial" w:cs="Arial"/>
        </w:rPr>
        <w:t xml:space="preserve">Plan kont jest instrumentem ułatwiającym zarówno syntetyczne, jak i analityczne ujęcie wszystkich operacji finansowych zachodzących w danym okresie w organizacji. Plan kont powinien służyć poprawnemu sporządzeniu bilansu oraz rachunku zysków i strat – układ wybranych kont powinien odpowiadać konkretnym pozycjom z rachunku zysków i strat (np. koszty finansowe, pozostałe przychody operacyjne itd.). Układ planu kont powinien też umożliwiać sprawne przygotowanie raportów dla darczyńców, </w:t>
      </w:r>
      <w:r w:rsidR="0064684B">
        <w:rPr>
          <w:rFonts w:ascii="Arial" w:hAnsi="Arial" w:cs="Arial"/>
        </w:rPr>
        <w:br/>
      </w:r>
      <w:r w:rsidRPr="00E06E8F">
        <w:rPr>
          <w:rFonts w:ascii="Arial" w:hAnsi="Arial" w:cs="Arial"/>
        </w:rPr>
        <w:t xml:space="preserve">z wykonania danego programu, jak też z ogólnej działalności organizacji. Niezwykle istotne w konstrukcji planu kont jest rozwinięcie analityki, czyli kont pomocniczych, na których zapisy księgowe będą dostarczały nam szczegółowych informacji. Dla celów sprawozdawczych (określonych przez Ministra Finansów w odpowiednim Rozporządzeniu), np. w rachunku zysków i strat musimy podać poniesione koszty programowe (nazywane w dokumencie „statutowe”) w jednej kwocie oraz koszty administracyjne w rozbiciu na sześć podstawowych kategorii. Dla naszych potrzeb jako </w:t>
      </w:r>
      <w:proofErr w:type="spellStart"/>
      <w:r w:rsidRPr="00E06E8F">
        <w:rPr>
          <w:rFonts w:ascii="Arial" w:hAnsi="Arial" w:cs="Arial"/>
        </w:rPr>
        <w:t>grantobiorcy</w:t>
      </w:r>
      <w:proofErr w:type="spellEnd"/>
      <w:r w:rsidRPr="00E06E8F">
        <w:rPr>
          <w:rFonts w:ascii="Arial" w:hAnsi="Arial" w:cs="Arial"/>
        </w:rPr>
        <w:t xml:space="preserve">, który przed darczyńcą musi szczegółowo zdać sprawozdanie </w:t>
      </w:r>
      <w:r w:rsidR="0064684B">
        <w:rPr>
          <w:rFonts w:ascii="Arial" w:hAnsi="Arial" w:cs="Arial"/>
        </w:rPr>
        <w:br/>
      </w:r>
      <w:r w:rsidRPr="00E06E8F">
        <w:rPr>
          <w:rFonts w:ascii="Arial" w:hAnsi="Arial" w:cs="Arial"/>
        </w:rPr>
        <w:t>z wykorzystania jego środków, jedna kwota kosztów programowych nie wystarcza, musi być rozbita na poszczególne programy i kategorie budżetowe. Przemyślana struktura kont kosztowych pozwoli nam na śledzenie kosztów z podziałem np. na źródła finansowania czy prowadzone programy. Odpowiednio opracowana struktura kont przychodów da nam obraz tego, w jakiej wysokości i od kogo uzyskaliśmy przychody. Analityka do konta wyniku finansowego pokaże nam, które z programów czy przedsięwzięć przyniosło stratę lub zakończyło się zyskiem, inaczej mówiąc, na które z programów wystarczyło nam środków, lub nawet zostało ich część do dalszej realizacji, a które były deficytowe w danym roku.</w:t>
      </w:r>
    </w:p>
    <w:p w:rsidR="00E06E8F" w:rsidRPr="00E06E8F" w:rsidRDefault="00E06E8F" w:rsidP="0064684B">
      <w:pPr>
        <w:pStyle w:val="NormalnyWeb"/>
        <w:jc w:val="both"/>
        <w:rPr>
          <w:rFonts w:ascii="Arial" w:hAnsi="Arial" w:cs="Arial"/>
        </w:rPr>
      </w:pPr>
      <w:r w:rsidRPr="00E06E8F">
        <w:rPr>
          <w:rFonts w:ascii="Arial" w:hAnsi="Arial" w:cs="Arial"/>
        </w:rPr>
        <w:t xml:space="preserve">Poniżej podajemy propozycje układu planu kont z pominięciem niektórych kont </w:t>
      </w:r>
      <w:r w:rsidR="0064684B">
        <w:rPr>
          <w:rFonts w:ascii="Arial" w:hAnsi="Arial" w:cs="Arial"/>
        </w:rPr>
        <w:br/>
      </w:r>
      <w:r w:rsidRPr="00E06E8F">
        <w:rPr>
          <w:rFonts w:ascii="Arial" w:hAnsi="Arial" w:cs="Arial"/>
        </w:rPr>
        <w:t>i zespołów, które są rzadko. wykorzystywane w przypadku organizacji nieprowadzącej działalności gospodarczej. Należy pamiętać, że w przypadku prowadzenia odpłatnej działalności statutowej konieczne jest wyróżnienie ewidencji operacji finansowych (kosztów i przychodów) dotyczących obu rodzajów działalności statutowej: odpłatnej</w:t>
      </w:r>
      <w:r w:rsidR="0064684B">
        <w:rPr>
          <w:rFonts w:ascii="Arial" w:hAnsi="Arial" w:cs="Arial"/>
        </w:rPr>
        <w:br/>
      </w:r>
      <w:r w:rsidRPr="00E06E8F">
        <w:rPr>
          <w:rFonts w:ascii="Arial" w:hAnsi="Arial" w:cs="Arial"/>
        </w:rPr>
        <w:t xml:space="preserve"> i nieodpłatnej. Konkretne numery kont mogą odbiegać od tutaj zaproponowanych, jednak grupy kont powinny zawierać się w tych przedziałach. Do każdego konta przypisany jest krótki komentarz dotyczący rodzaju operacji księgowanych na danym koncie.</w:t>
      </w:r>
    </w:p>
    <w:p w:rsidR="00E06E8F" w:rsidRPr="00E06E8F" w:rsidRDefault="00E06E8F" w:rsidP="00E06E8F">
      <w:pPr>
        <w:spacing w:before="100" w:beforeAutospacing="1" w:after="100" w:afterAutospacing="1" w:line="240" w:lineRule="auto"/>
        <w:jc w:val="both"/>
        <w:outlineLvl w:val="1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E06E8F">
        <w:rPr>
          <w:rFonts w:ascii="Arial" w:eastAsia="Times New Roman" w:hAnsi="Arial" w:cs="Arial"/>
          <w:b/>
          <w:bCs/>
          <w:sz w:val="24"/>
          <w:szCs w:val="24"/>
          <w:lang w:eastAsia="pl-PL"/>
        </w:rPr>
        <w:lastRenderedPageBreak/>
        <w:t>Zespół 0 – majątek trwały</w:t>
      </w:r>
    </w:p>
    <w:p w:rsidR="00E06E8F" w:rsidRPr="00E06E8F" w:rsidRDefault="00E06E8F" w:rsidP="00E06E8F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E06E8F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010 – 015 – konta środków trwałych</w:t>
      </w:r>
    </w:p>
    <w:p w:rsidR="00E06E8F" w:rsidRPr="00E06E8F" w:rsidRDefault="00E06E8F" w:rsidP="00E06E8F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E06E8F">
        <w:rPr>
          <w:rFonts w:ascii="Arial" w:eastAsia="Times New Roman" w:hAnsi="Arial" w:cs="Arial"/>
          <w:sz w:val="24"/>
          <w:szCs w:val="24"/>
          <w:lang w:eastAsia="pl-PL"/>
        </w:rPr>
        <w:t>(ewidencja nieruchomości, maszyny, środki transportu)</w:t>
      </w:r>
    </w:p>
    <w:p w:rsidR="00E06E8F" w:rsidRPr="00E06E8F" w:rsidRDefault="00E06E8F" w:rsidP="00E06E8F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E06E8F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020 – 025 – konta wartości niematerialnych i prawnych</w:t>
      </w:r>
    </w:p>
    <w:p w:rsidR="00E06E8F" w:rsidRPr="00E06E8F" w:rsidRDefault="00E06E8F" w:rsidP="00E06E8F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E06E8F">
        <w:rPr>
          <w:rFonts w:ascii="Arial" w:eastAsia="Times New Roman" w:hAnsi="Arial" w:cs="Arial"/>
          <w:sz w:val="24"/>
          <w:szCs w:val="24"/>
          <w:lang w:eastAsia="pl-PL"/>
        </w:rPr>
        <w:t>(ewidencja praw autorskich, praw do patentów, projektów, specjalistycznych programów komputerowych)</w:t>
      </w:r>
    </w:p>
    <w:p w:rsidR="00E06E8F" w:rsidRPr="00E06E8F" w:rsidRDefault="00E06E8F" w:rsidP="00E06E8F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E06E8F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070 – 075 – konta umorzeń środków trwałych i wartości niematerialnych i prawnych</w:t>
      </w:r>
    </w:p>
    <w:p w:rsidR="00E06E8F" w:rsidRPr="00E06E8F" w:rsidRDefault="00E06E8F" w:rsidP="00E06E8F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E06E8F">
        <w:rPr>
          <w:rFonts w:ascii="Arial" w:eastAsia="Times New Roman" w:hAnsi="Arial" w:cs="Arial"/>
          <w:sz w:val="24"/>
          <w:szCs w:val="24"/>
          <w:lang w:eastAsia="pl-PL"/>
        </w:rPr>
        <w:t>(odpisy umorzeniowe)</w:t>
      </w:r>
    </w:p>
    <w:p w:rsidR="00E06E8F" w:rsidRPr="00E06E8F" w:rsidRDefault="00E06E8F" w:rsidP="00E06E8F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E06E8F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080 – 085 – konta inwestycji</w:t>
      </w:r>
    </w:p>
    <w:p w:rsidR="00E06E8F" w:rsidRPr="00E06E8F" w:rsidRDefault="00E06E8F" w:rsidP="00E06E8F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E06E8F">
        <w:rPr>
          <w:rFonts w:ascii="Arial" w:eastAsia="Times New Roman" w:hAnsi="Arial" w:cs="Arial"/>
          <w:sz w:val="24"/>
          <w:szCs w:val="24"/>
          <w:lang w:eastAsia="pl-PL"/>
        </w:rPr>
        <w:t>(inwestycje związane z budową, montażem lub zakupem środków trwałych)</w:t>
      </w:r>
    </w:p>
    <w:p w:rsidR="00E06E8F" w:rsidRPr="00E06E8F" w:rsidRDefault="00E06E8F" w:rsidP="00E06E8F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E06E8F" w:rsidRPr="00E06E8F" w:rsidRDefault="00E06E8F" w:rsidP="00E06E8F">
      <w:pPr>
        <w:spacing w:before="100" w:beforeAutospacing="1" w:after="100" w:afterAutospacing="1" w:line="240" w:lineRule="auto"/>
        <w:jc w:val="both"/>
        <w:outlineLvl w:val="1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E06E8F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Zespół 1 – środki pieniężne</w:t>
      </w:r>
    </w:p>
    <w:p w:rsidR="00E06E8F" w:rsidRPr="00E06E8F" w:rsidRDefault="00E06E8F" w:rsidP="00E06E8F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E06E8F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100 – konto kasy</w:t>
      </w:r>
    </w:p>
    <w:p w:rsidR="00E06E8F" w:rsidRPr="00E06E8F" w:rsidRDefault="00E06E8F" w:rsidP="00E06E8F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E06E8F">
        <w:rPr>
          <w:rFonts w:ascii="Arial" w:eastAsia="Times New Roman" w:hAnsi="Arial" w:cs="Arial"/>
          <w:sz w:val="24"/>
          <w:szCs w:val="24"/>
          <w:lang w:eastAsia="pl-PL"/>
        </w:rPr>
        <w:t>(ewidencja gotówki w kasie)</w:t>
      </w:r>
    </w:p>
    <w:p w:rsidR="00E06E8F" w:rsidRPr="00E06E8F" w:rsidRDefault="00E06E8F" w:rsidP="00E06E8F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E06E8F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130 – konto bieżącego rachunku bankowego</w:t>
      </w:r>
    </w:p>
    <w:p w:rsidR="00E06E8F" w:rsidRPr="00E06E8F" w:rsidRDefault="00E06E8F" w:rsidP="00E06E8F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E06E8F">
        <w:rPr>
          <w:rFonts w:ascii="Arial" w:eastAsia="Times New Roman" w:hAnsi="Arial" w:cs="Arial"/>
          <w:sz w:val="24"/>
          <w:szCs w:val="24"/>
          <w:lang w:eastAsia="pl-PL"/>
        </w:rPr>
        <w:t>(ewidencja operacji na rachunku bankowym)</w:t>
      </w:r>
    </w:p>
    <w:p w:rsidR="00E06E8F" w:rsidRPr="00E06E8F" w:rsidRDefault="00E06E8F" w:rsidP="00E06E8F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E06E8F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131 – konto pomocniczego rachunku bankowego</w:t>
      </w:r>
    </w:p>
    <w:p w:rsidR="00E06E8F" w:rsidRPr="00E06E8F" w:rsidRDefault="00E06E8F" w:rsidP="00E06E8F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E06E8F">
        <w:rPr>
          <w:rFonts w:ascii="Arial" w:eastAsia="Times New Roman" w:hAnsi="Arial" w:cs="Arial"/>
          <w:sz w:val="24"/>
          <w:szCs w:val="24"/>
          <w:lang w:eastAsia="pl-PL"/>
        </w:rPr>
        <w:t>(ewidencja operacji na rachunku bankowym, wydzielonym do obsługi konkretnego programu)</w:t>
      </w:r>
    </w:p>
    <w:p w:rsidR="00E06E8F" w:rsidRPr="00E06E8F" w:rsidRDefault="00E06E8F" w:rsidP="00E06E8F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E06E8F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135 – konto walutowe</w:t>
      </w:r>
    </w:p>
    <w:p w:rsidR="00E06E8F" w:rsidRPr="00E06E8F" w:rsidRDefault="00E06E8F" w:rsidP="00E06E8F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E06E8F">
        <w:rPr>
          <w:rFonts w:ascii="Arial" w:eastAsia="Times New Roman" w:hAnsi="Arial" w:cs="Arial"/>
          <w:sz w:val="24"/>
          <w:szCs w:val="24"/>
          <w:lang w:eastAsia="pl-PL"/>
        </w:rPr>
        <w:t>(ewidencja operacji na koncie walutowym)</w:t>
      </w:r>
    </w:p>
    <w:p w:rsidR="00E06E8F" w:rsidRPr="00E06E8F" w:rsidRDefault="00E06E8F" w:rsidP="00E06E8F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E06E8F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137 – konto lokat bankowych</w:t>
      </w:r>
    </w:p>
    <w:p w:rsidR="00E06E8F" w:rsidRPr="00E06E8F" w:rsidRDefault="00E06E8F" w:rsidP="00E06E8F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E06E8F">
        <w:rPr>
          <w:rFonts w:ascii="Arial" w:eastAsia="Times New Roman" w:hAnsi="Arial" w:cs="Arial"/>
          <w:sz w:val="24"/>
          <w:szCs w:val="24"/>
          <w:lang w:eastAsia="pl-PL"/>
        </w:rPr>
        <w:t>(ewidencja lokat na rachunkach bankowych)</w:t>
      </w:r>
    </w:p>
    <w:p w:rsidR="00E06E8F" w:rsidRPr="00E06E8F" w:rsidRDefault="00E06E8F" w:rsidP="00E06E8F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E06E8F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145 – konto środki pieniężne w drodze</w:t>
      </w:r>
    </w:p>
    <w:p w:rsidR="00E06E8F" w:rsidRPr="00E06E8F" w:rsidRDefault="00E06E8F" w:rsidP="00E06E8F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E06E8F">
        <w:rPr>
          <w:rFonts w:ascii="Arial" w:eastAsia="Times New Roman" w:hAnsi="Arial" w:cs="Arial"/>
          <w:sz w:val="24"/>
          <w:szCs w:val="24"/>
          <w:lang w:eastAsia="pl-PL"/>
        </w:rPr>
        <w:t>(ewidencja przepływu środków np. z kasy do banku, jeśli przepływ ten trwa dłużej niż jeden dzień)</w:t>
      </w:r>
    </w:p>
    <w:p w:rsidR="00E06E8F" w:rsidRDefault="00E06E8F" w:rsidP="00E06E8F">
      <w:pPr>
        <w:spacing w:before="100" w:beforeAutospacing="1" w:after="100" w:afterAutospacing="1" w:line="240" w:lineRule="auto"/>
        <w:jc w:val="both"/>
        <w:outlineLvl w:val="1"/>
        <w:rPr>
          <w:rFonts w:ascii="Arial" w:eastAsia="Times New Roman" w:hAnsi="Arial" w:cs="Arial"/>
          <w:sz w:val="24"/>
          <w:szCs w:val="24"/>
          <w:lang w:eastAsia="pl-PL"/>
        </w:rPr>
      </w:pPr>
    </w:p>
    <w:p w:rsidR="00E06E8F" w:rsidRPr="00E06E8F" w:rsidRDefault="00E06E8F" w:rsidP="00E06E8F">
      <w:pPr>
        <w:spacing w:before="100" w:beforeAutospacing="1" w:after="100" w:afterAutospacing="1" w:line="240" w:lineRule="auto"/>
        <w:jc w:val="both"/>
        <w:outlineLvl w:val="1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E06E8F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Zespół 2 – rozrachunki i roszczenia</w:t>
      </w:r>
    </w:p>
    <w:p w:rsidR="00E06E8F" w:rsidRPr="00E06E8F" w:rsidRDefault="00E06E8F" w:rsidP="00E06E8F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E06E8F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201 – konto rozrachunków z odbiorcami</w:t>
      </w:r>
    </w:p>
    <w:p w:rsidR="00E06E8F" w:rsidRPr="00E06E8F" w:rsidRDefault="00E06E8F" w:rsidP="00E06E8F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E06E8F">
        <w:rPr>
          <w:rFonts w:ascii="Arial" w:eastAsia="Times New Roman" w:hAnsi="Arial" w:cs="Arial"/>
          <w:sz w:val="24"/>
          <w:szCs w:val="24"/>
          <w:lang w:eastAsia="pl-PL"/>
        </w:rPr>
        <w:t>(należności z tytułu np. udzielonych i nierozliczonych dotacji)</w:t>
      </w:r>
    </w:p>
    <w:p w:rsidR="00E06E8F" w:rsidRPr="00E06E8F" w:rsidRDefault="00E06E8F" w:rsidP="00E06E8F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E06E8F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202 – konto rozrachunków z dostawcami</w:t>
      </w:r>
    </w:p>
    <w:p w:rsidR="00E06E8F" w:rsidRPr="00E06E8F" w:rsidRDefault="00E06E8F" w:rsidP="00E06E8F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E06E8F">
        <w:rPr>
          <w:rFonts w:ascii="Arial" w:eastAsia="Times New Roman" w:hAnsi="Arial" w:cs="Arial"/>
          <w:sz w:val="24"/>
          <w:szCs w:val="24"/>
          <w:lang w:eastAsia="pl-PL"/>
        </w:rPr>
        <w:t>(zobowiązania z tytułu usług, dostaw itp.)</w:t>
      </w:r>
    </w:p>
    <w:p w:rsidR="00E06E8F" w:rsidRPr="00E06E8F" w:rsidRDefault="00E06E8F" w:rsidP="00E06E8F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E06E8F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220 – konto rozrachunków z budżetem państwa</w:t>
      </w:r>
    </w:p>
    <w:p w:rsidR="00E06E8F" w:rsidRPr="00E06E8F" w:rsidRDefault="00E06E8F" w:rsidP="00E06E8F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E06E8F">
        <w:rPr>
          <w:rFonts w:ascii="Arial" w:eastAsia="Times New Roman" w:hAnsi="Arial" w:cs="Arial"/>
          <w:sz w:val="24"/>
          <w:szCs w:val="24"/>
          <w:lang w:eastAsia="pl-PL"/>
        </w:rPr>
        <w:t>(zobowiązania z tyt. składek ZUS, zaliczek na PDOF, itp.,)</w:t>
      </w:r>
    </w:p>
    <w:p w:rsidR="00E06E8F" w:rsidRPr="00E06E8F" w:rsidRDefault="00E06E8F" w:rsidP="00E06E8F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E06E8F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230 – konto rozrachunków z pracownikami z tytułu wynagrodzeń</w:t>
      </w:r>
    </w:p>
    <w:p w:rsidR="00E06E8F" w:rsidRPr="00E06E8F" w:rsidRDefault="00E06E8F" w:rsidP="00E06E8F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E06E8F">
        <w:rPr>
          <w:rFonts w:ascii="Arial" w:eastAsia="Times New Roman" w:hAnsi="Arial" w:cs="Arial"/>
          <w:sz w:val="24"/>
          <w:szCs w:val="24"/>
          <w:lang w:eastAsia="pl-PL"/>
        </w:rPr>
        <w:t>(ewidencja rozrachunków z pracownikami otrzymującymi wynagrodzenie. Zalecane jest utworzenie kont analitycznych dla każdego z pracowników oraz odrębnie dla osób zatrudnianych na umowę zlecenia i o dzieło)</w:t>
      </w:r>
    </w:p>
    <w:p w:rsidR="00E06E8F" w:rsidRPr="00E06E8F" w:rsidRDefault="00E06E8F" w:rsidP="00E06E8F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E06E8F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232 – konto pozostałych rozrachunków z pracownikami</w:t>
      </w:r>
    </w:p>
    <w:p w:rsidR="00E06E8F" w:rsidRPr="00E06E8F" w:rsidRDefault="00E06E8F" w:rsidP="00E06E8F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E06E8F">
        <w:rPr>
          <w:rFonts w:ascii="Arial" w:eastAsia="Times New Roman" w:hAnsi="Arial" w:cs="Arial"/>
          <w:sz w:val="24"/>
          <w:szCs w:val="24"/>
          <w:lang w:eastAsia="pl-PL"/>
        </w:rPr>
        <w:t>(ewidencja pozostałych rozrachunków np. zaliczek pobranych przez pracowników na zakup materiałów)</w:t>
      </w:r>
    </w:p>
    <w:p w:rsidR="00E06E8F" w:rsidRPr="00E06E8F" w:rsidRDefault="00E06E8F" w:rsidP="00E06E8F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E06E8F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235 – konto rozrachunków z wolontariuszami</w:t>
      </w:r>
    </w:p>
    <w:p w:rsidR="00E06E8F" w:rsidRPr="00E06E8F" w:rsidRDefault="00E06E8F" w:rsidP="00E06E8F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E06E8F">
        <w:rPr>
          <w:rFonts w:ascii="Arial" w:eastAsia="Times New Roman" w:hAnsi="Arial" w:cs="Arial"/>
          <w:sz w:val="24"/>
          <w:szCs w:val="24"/>
          <w:lang w:eastAsia="pl-PL"/>
        </w:rPr>
        <w:t>(ewidencja i rozliczenie zaliczek pobranych przez wolontariuszy)</w:t>
      </w:r>
    </w:p>
    <w:p w:rsidR="00E06E8F" w:rsidRPr="00E06E8F" w:rsidRDefault="00E06E8F" w:rsidP="00E06E8F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E06E8F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240 – pozostałe rozrachunki</w:t>
      </w:r>
    </w:p>
    <w:p w:rsidR="00E06E8F" w:rsidRPr="00E06E8F" w:rsidRDefault="00E06E8F" w:rsidP="00E06E8F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E06E8F">
        <w:rPr>
          <w:rFonts w:ascii="Arial" w:eastAsia="Times New Roman" w:hAnsi="Arial" w:cs="Arial"/>
          <w:sz w:val="24"/>
          <w:szCs w:val="24"/>
          <w:lang w:eastAsia="pl-PL"/>
        </w:rPr>
        <w:t>(ewidencja rozrachunków, niewymienionych wyżej)</w:t>
      </w:r>
    </w:p>
    <w:p w:rsidR="00E06E8F" w:rsidRPr="00E06E8F" w:rsidRDefault="00E06E8F" w:rsidP="00E06E8F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E06E8F" w:rsidRPr="00E06E8F" w:rsidRDefault="00E06E8F" w:rsidP="00E06E8F">
      <w:pPr>
        <w:spacing w:before="100" w:beforeAutospacing="1" w:after="100" w:afterAutospacing="1" w:line="240" w:lineRule="auto"/>
        <w:jc w:val="both"/>
        <w:outlineLvl w:val="1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E06E8F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Zespół 5 – koszty</w:t>
      </w:r>
    </w:p>
    <w:p w:rsidR="00E06E8F" w:rsidRPr="00E06E8F" w:rsidRDefault="00E06E8F" w:rsidP="00E06E8F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E06E8F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500 – konto kosztów programowych</w:t>
      </w:r>
    </w:p>
    <w:p w:rsidR="00E06E8F" w:rsidRPr="00E06E8F" w:rsidRDefault="00E06E8F" w:rsidP="00E06E8F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E06E8F">
        <w:rPr>
          <w:rFonts w:ascii="Arial" w:eastAsia="Times New Roman" w:hAnsi="Arial" w:cs="Arial"/>
          <w:sz w:val="24"/>
          <w:szCs w:val="24"/>
          <w:lang w:eastAsia="pl-PL"/>
        </w:rPr>
        <w:t>(ewidencja kosztów dotyczących statutowej działalności programowej organizacji z podziałem na działalność odpłatną i nieodpłatną)</w:t>
      </w:r>
    </w:p>
    <w:p w:rsidR="00E06E8F" w:rsidRPr="00E06E8F" w:rsidRDefault="00E06E8F" w:rsidP="00E06E8F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E06E8F">
        <w:rPr>
          <w:rFonts w:ascii="Arial" w:eastAsia="Times New Roman" w:hAnsi="Arial" w:cs="Arial"/>
          <w:sz w:val="24"/>
          <w:szCs w:val="24"/>
          <w:lang w:eastAsia="pl-PL"/>
        </w:rPr>
        <w:t>Bardzo ważne jest, by w ramach tego konta utworzyć takie konta analityczne, bądź kolejne konta syntetyczne, które pozwolą na wyodrębnienie kosztów programowych zgodnie z naszymi potrzebami np. podział kosztów według źródeł finansowania lub realizowanych programów oraz pozycji budżetowych zawartych w formularzach rozliczeniowych dla darczyńców.</w:t>
      </w:r>
    </w:p>
    <w:p w:rsidR="00E06E8F" w:rsidRPr="00E06E8F" w:rsidRDefault="00E06E8F" w:rsidP="00E06E8F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E06E8F">
        <w:rPr>
          <w:rFonts w:ascii="Arial" w:eastAsia="Times New Roman" w:hAnsi="Arial" w:cs="Arial"/>
          <w:b/>
          <w:bCs/>
          <w:sz w:val="24"/>
          <w:szCs w:val="24"/>
          <w:lang w:eastAsia="pl-PL"/>
        </w:rPr>
        <w:lastRenderedPageBreak/>
        <w:t>550 – konto kosztów administracyjnych</w:t>
      </w:r>
    </w:p>
    <w:p w:rsidR="00E06E8F" w:rsidRPr="00E06E8F" w:rsidRDefault="00E06E8F" w:rsidP="00E06E8F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E06E8F">
        <w:rPr>
          <w:rFonts w:ascii="Arial" w:eastAsia="Times New Roman" w:hAnsi="Arial" w:cs="Arial"/>
          <w:sz w:val="24"/>
          <w:szCs w:val="24"/>
          <w:lang w:eastAsia="pl-PL"/>
        </w:rPr>
        <w:t>(służy do ewidencji kosztów zakwalifikowanych jako administracyjne z podziałem na kategorie określone przez Ministra Finansów wg pozycji z rachunku zysków i strat)</w:t>
      </w:r>
    </w:p>
    <w:p w:rsidR="00E06E8F" w:rsidRPr="00E06E8F" w:rsidRDefault="00E06E8F" w:rsidP="00E06E8F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E06E8F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550 – 1 – zużycie materiałów i energii</w:t>
      </w:r>
    </w:p>
    <w:p w:rsidR="00E06E8F" w:rsidRPr="00E06E8F" w:rsidRDefault="00E06E8F" w:rsidP="00E06E8F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E06E8F">
        <w:rPr>
          <w:rFonts w:ascii="Arial" w:eastAsia="Times New Roman" w:hAnsi="Arial" w:cs="Arial"/>
          <w:sz w:val="24"/>
          <w:szCs w:val="24"/>
          <w:lang w:eastAsia="pl-PL"/>
        </w:rPr>
        <w:t>(koszty materiałów biurowych i zużycia energii)</w:t>
      </w:r>
    </w:p>
    <w:p w:rsidR="00E06E8F" w:rsidRPr="00E06E8F" w:rsidRDefault="00E06E8F" w:rsidP="00E06E8F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E06E8F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550 – 2 – usługi obce</w:t>
      </w:r>
    </w:p>
    <w:p w:rsidR="00E06E8F" w:rsidRPr="00E06E8F" w:rsidRDefault="00E06E8F" w:rsidP="00E06E8F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E06E8F">
        <w:rPr>
          <w:rFonts w:ascii="Arial" w:eastAsia="Times New Roman" w:hAnsi="Arial" w:cs="Arial"/>
          <w:sz w:val="24"/>
          <w:szCs w:val="24"/>
          <w:lang w:eastAsia="pl-PL"/>
        </w:rPr>
        <w:t>(koszty usług obcych, takich jak usługi pocztowe, bankowe, telekomunikacyjne, najmu i inne)</w:t>
      </w:r>
    </w:p>
    <w:p w:rsidR="00E06E8F" w:rsidRPr="00E06E8F" w:rsidRDefault="00E06E8F" w:rsidP="00E06E8F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E06E8F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550 – 3 – podatki i opłaty</w:t>
      </w:r>
    </w:p>
    <w:p w:rsidR="00E06E8F" w:rsidRPr="00E06E8F" w:rsidRDefault="00E06E8F" w:rsidP="00E06E8F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E06E8F">
        <w:rPr>
          <w:rFonts w:ascii="Arial" w:eastAsia="Times New Roman" w:hAnsi="Arial" w:cs="Arial"/>
          <w:sz w:val="24"/>
          <w:szCs w:val="24"/>
          <w:lang w:eastAsia="pl-PL"/>
        </w:rPr>
        <w:t>(koszty opłat skarbowych, podatku od nieruchomości i innych)</w:t>
      </w:r>
    </w:p>
    <w:p w:rsidR="00E06E8F" w:rsidRPr="00E06E8F" w:rsidRDefault="00E06E8F" w:rsidP="00E06E8F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E06E8F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550 – 4 – wynagrodzenia i świadczenia na rzecz pracowników</w:t>
      </w:r>
    </w:p>
    <w:p w:rsidR="00E06E8F" w:rsidRPr="00E06E8F" w:rsidRDefault="00E06E8F" w:rsidP="00E06E8F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E06E8F">
        <w:rPr>
          <w:rFonts w:ascii="Arial" w:eastAsia="Times New Roman" w:hAnsi="Arial" w:cs="Arial"/>
          <w:sz w:val="24"/>
          <w:szCs w:val="24"/>
          <w:lang w:eastAsia="pl-PL"/>
        </w:rPr>
        <w:t>(koszty wynagrodzeń, w tym etaty, zlecenia, umowy o dzieło oraz składki ZUS, odpisy na Zakładowy Fundusz Świadczeń Socjalnych i pozostałe świadczenia)</w:t>
      </w:r>
    </w:p>
    <w:p w:rsidR="00E06E8F" w:rsidRPr="00E06E8F" w:rsidRDefault="00E06E8F" w:rsidP="00E06E8F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E06E8F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550 – 5 – amortyzacja</w:t>
      </w:r>
    </w:p>
    <w:p w:rsidR="00E06E8F" w:rsidRPr="00E06E8F" w:rsidRDefault="00E06E8F" w:rsidP="00E06E8F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E06E8F">
        <w:rPr>
          <w:rFonts w:ascii="Arial" w:eastAsia="Times New Roman" w:hAnsi="Arial" w:cs="Arial"/>
          <w:sz w:val="24"/>
          <w:szCs w:val="24"/>
          <w:lang w:eastAsia="pl-PL"/>
        </w:rPr>
        <w:t>(ewidencja kosztów amortyzacji rzeczowego majątku trwałego i wartości niematerialnych i prawnych)</w:t>
      </w:r>
    </w:p>
    <w:p w:rsidR="00E06E8F" w:rsidRPr="00E06E8F" w:rsidRDefault="00E06E8F" w:rsidP="00E06E8F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E06E8F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550 – 6 – pozostałe koszty administracyjne</w:t>
      </w:r>
    </w:p>
    <w:p w:rsidR="00E06E8F" w:rsidRPr="00E06E8F" w:rsidRDefault="00E06E8F" w:rsidP="00E06E8F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E06E8F">
        <w:rPr>
          <w:rFonts w:ascii="Arial" w:eastAsia="Times New Roman" w:hAnsi="Arial" w:cs="Arial"/>
          <w:sz w:val="24"/>
          <w:szCs w:val="24"/>
          <w:lang w:eastAsia="pl-PL"/>
        </w:rPr>
        <w:t>(koszty, które nie kwalifikują się do powyższych kategorii)</w:t>
      </w:r>
    </w:p>
    <w:p w:rsidR="00E06E8F" w:rsidRPr="00E06E8F" w:rsidRDefault="00E06E8F" w:rsidP="00E06E8F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E06E8F" w:rsidRPr="00E06E8F" w:rsidRDefault="00E06E8F" w:rsidP="00E06E8F">
      <w:pPr>
        <w:spacing w:before="100" w:beforeAutospacing="1" w:after="100" w:afterAutospacing="1" w:line="240" w:lineRule="auto"/>
        <w:jc w:val="both"/>
        <w:outlineLvl w:val="1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E06E8F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Zespół 6 – rozliczenia międzyokresowe kosztów</w:t>
      </w:r>
    </w:p>
    <w:p w:rsidR="00E06E8F" w:rsidRPr="00E06E8F" w:rsidRDefault="00E06E8F" w:rsidP="00E06E8F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E06E8F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640 – konto rozliczeń międzyokresowych czynnych</w:t>
      </w:r>
    </w:p>
    <w:p w:rsidR="00E06E8F" w:rsidRPr="00E06E8F" w:rsidRDefault="00E06E8F" w:rsidP="00E06E8F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E06E8F">
        <w:rPr>
          <w:rFonts w:ascii="Arial" w:eastAsia="Times New Roman" w:hAnsi="Arial" w:cs="Arial"/>
          <w:sz w:val="24"/>
          <w:szCs w:val="24"/>
          <w:lang w:eastAsia="pl-PL"/>
        </w:rPr>
        <w:t>(ewidencja kosztów poniesionych w okresie sprawozdawczym, dotyczących późniejszego okresu)</w:t>
      </w:r>
    </w:p>
    <w:p w:rsidR="00E06E8F" w:rsidRPr="00E06E8F" w:rsidRDefault="00E06E8F" w:rsidP="00E06E8F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E06E8F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641 – konto rozliczeń międzyokresowych biernych</w:t>
      </w:r>
    </w:p>
    <w:p w:rsidR="00E06E8F" w:rsidRPr="00E06E8F" w:rsidRDefault="00E06E8F" w:rsidP="00E06E8F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E06E8F">
        <w:rPr>
          <w:rFonts w:ascii="Arial" w:eastAsia="Times New Roman" w:hAnsi="Arial" w:cs="Arial"/>
          <w:sz w:val="24"/>
          <w:szCs w:val="24"/>
          <w:lang w:eastAsia="pl-PL"/>
        </w:rPr>
        <w:t>(ewidencja kosztów dotyczących bieżącego okresu, ale jeszcze nieponiesionych)</w:t>
      </w:r>
    </w:p>
    <w:p w:rsidR="00E06E8F" w:rsidRPr="00E06E8F" w:rsidRDefault="00E06E8F" w:rsidP="00E06E8F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E06E8F" w:rsidRPr="00E06E8F" w:rsidRDefault="00E06E8F" w:rsidP="00E06E8F">
      <w:pPr>
        <w:spacing w:before="100" w:beforeAutospacing="1" w:after="100" w:afterAutospacing="1" w:line="240" w:lineRule="auto"/>
        <w:jc w:val="both"/>
        <w:outlineLvl w:val="1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E06E8F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Zespół 7 – przychody i koszty ich osiągnięcia</w:t>
      </w:r>
    </w:p>
    <w:p w:rsidR="00E06E8F" w:rsidRPr="00E06E8F" w:rsidRDefault="00E06E8F" w:rsidP="00E06E8F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E06E8F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700 – konto przychodów statutowych</w:t>
      </w:r>
    </w:p>
    <w:p w:rsidR="00E06E8F" w:rsidRPr="00E06E8F" w:rsidRDefault="00E06E8F" w:rsidP="00E06E8F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E06E8F">
        <w:rPr>
          <w:rFonts w:ascii="Arial" w:eastAsia="Times New Roman" w:hAnsi="Arial" w:cs="Arial"/>
          <w:sz w:val="24"/>
          <w:szCs w:val="24"/>
          <w:lang w:eastAsia="pl-PL"/>
        </w:rPr>
        <w:lastRenderedPageBreak/>
        <w:t>(służy do ewidencji przychodów statutowych, takich jak np. dotacje, darowizny i przychody z odpłatnej działalności statutowej)</w:t>
      </w:r>
    </w:p>
    <w:p w:rsidR="00E06E8F" w:rsidRPr="00E06E8F" w:rsidRDefault="00E06E8F" w:rsidP="00E06E8F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E06E8F">
        <w:rPr>
          <w:rFonts w:ascii="Arial" w:eastAsia="Times New Roman" w:hAnsi="Arial" w:cs="Arial"/>
          <w:sz w:val="24"/>
          <w:szCs w:val="24"/>
          <w:lang w:eastAsia="pl-PL"/>
        </w:rPr>
        <w:t>Do konta przychodów statutowych dobrze jest utworzyć konta analityczne z podziałem na poszczególne źródła finansowania, np. 700-1 osoby prywatne, 700-2 organizacje pozarządowe, 700-3 firmy prywatne, 700-4 źródła publiczne, itd. z możliwością rozwijania analityki tak, aby można było śledzić wysokość wpłat poszczególnych darczyńców. W przypadku stowarzyszeń należy utworzyć też konto analityczne, na którym księgowane będą składki członkowskie – kwotę składek trzeba wykazać w rachunku zysków i strat.</w:t>
      </w:r>
    </w:p>
    <w:p w:rsidR="00E06E8F" w:rsidRPr="00E06E8F" w:rsidRDefault="00E06E8F" w:rsidP="00E06E8F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E06E8F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751 – konto przychodów finansowych</w:t>
      </w:r>
    </w:p>
    <w:p w:rsidR="00E06E8F" w:rsidRPr="00E06E8F" w:rsidRDefault="00E06E8F" w:rsidP="00E06E8F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E06E8F">
        <w:rPr>
          <w:rFonts w:ascii="Arial" w:eastAsia="Times New Roman" w:hAnsi="Arial" w:cs="Arial"/>
          <w:sz w:val="24"/>
          <w:szCs w:val="24"/>
          <w:lang w:eastAsia="pl-PL"/>
        </w:rPr>
        <w:t>(na koncie tym ujmowane są uzyskane odsetki bankowe, dodatnie różnice kursowe i inne przychody finansowe)</w:t>
      </w:r>
    </w:p>
    <w:p w:rsidR="00E06E8F" w:rsidRPr="00E06E8F" w:rsidRDefault="00E06E8F" w:rsidP="00E06E8F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E06E8F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752 – konto kosztów finansowych</w:t>
      </w:r>
    </w:p>
    <w:p w:rsidR="00E06E8F" w:rsidRPr="00E06E8F" w:rsidRDefault="00E06E8F" w:rsidP="00E06E8F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E06E8F">
        <w:rPr>
          <w:rFonts w:ascii="Arial" w:eastAsia="Times New Roman" w:hAnsi="Arial" w:cs="Arial"/>
          <w:sz w:val="24"/>
          <w:szCs w:val="24"/>
          <w:lang w:eastAsia="pl-PL"/>
        </w:rPr>
        <w:t>(służy do ewidencji odsetek od pożyczek i kredytów oraz ujemnych różnic kursowych i pozostałych kosztów finansowych)</w:t>
      </w:r>
    </w:p>
    <w:p w:rsidR="00E06E8F" w:rsidRPr="00E06E8F" w:rsidRDefault="00E06E8F" w:rsidP="00E06E8F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E06E8F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761 – konto pozostałych przychodów operacyjnych</w:t>
      </w:r>
    </w:p>
    <w:p w:rsidR="00E06E8F" w:rsidRPr="00E06E8F" w:rsidRDefault="00E06E8F" w:rsidP="00E06E8F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E06E8F">
        <w:rPr>
          <w:rFonts w:ascii="Arial" w:eastAsia="Times New Roman" w:hAnsi="Arial" w:cs="Arial"/>
          <w:sz w:val="24"/>
          <w:szCs w:val="24"/>
          <w:lang w:eastAsia="pl-PL"/>
        </w:rPr>
        <w:t>(pozostałe przychody niezwiązane bezpośrednio z działalnością organizacji, np. z likwidacji i sprzedaży środków trwałych)</w:t>
      </w:r>
    </w:p>
    <w:p w:rsidR="00E06E8F" w:rsidRPr="00E06E8F" w:rsidRDefault="00E06E8F" w:rsidP="00E06E8F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E06E8F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762 – konto pozostałych kosztów operacyjnych</w:t>
      </w:r>
    </w:p>
    <w:p w:rsidR="00E06E8F" w:rsidRPr="00E06E8F" w:rsidRDefault="00E06E8F" w:rsidP="00E06E8F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E06E8F">
        <w:rPr>
          <w:rFonts w:ascii="Arial" w:eastAsia="Times New Roman" w:hAnsi="Arial" w:cs="Arial"/>
          <w:sz w:val="24"/>
          <w:szCs w:val="24"/>
          <w:lang w:eastAsia="pl-PL"/>
        </w:rPr>
        <w:t>(pozostałe koszty niezwiązane bezpośrednio z działalnością organizacji)</w:t>
      </w:r>
    </w:p>
    <w:p w:rsidR="00E06E8F" w:rsidRPr="00E06E8F" w:rsidRDefault="00E06E8F" w:rsidP="00E06E8F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E06E8F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771 – konto zysków nadzwyczajnych</w:t>
      </w:r>
    </w:p>
    <w:p w:rsidR="00E06E8F" w:rsidRPr="00E06E8F" w:rsidRDefault="00E06E8F" w:rsidP="00E06E8F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E06E8F">
        <w:rPr>
          <w:rFonts w:ascii="Arial" w:eastAsia="Times New Roman" w:hAnsi="Arial" w:cs="Arial"/>
          <w:sz w:val="24"/>
          <w:szCs w:val="24"/>
          <w:lang w:eastAsia="pl-PL"/>
        </w:rPr>
        <w:t>(na koncie ujmowane są zyski związane z losowymi zdarzeniami, niezakwalifikowane do pozostałych przychodów)</w:t>
      </w:r>
    </w:p>
    <w:p w:rsidR="00E06E8F" w:rsidRPr="00E06E8F" w:rsidRDefault="00E06E8F" w:rsidP="00E06E8F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E06E8F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772 – konto strat nadzwyczajnych</w:t>
      </w:r>
    </w:p>
    <w:p w:rsidR="00E06E8F" w:rsidRPr="00E06E8F" w:rsidRDefault="00E06E8F" w:rsidP="00E06E8F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E06E8F">
        <w:rPr>
          <w:rFonts w:ascii="Arial" w:eastAsia="Times New Roman" w:hAnsi="Arial" w:cs="Arial"/>
          <w:sz w:val="24"/>
          <w:szCs w:val="24"/>
          <w:lang w:eastAsia="pl-PL"/>
        </w:rPr>
        <w:t>(na koncie ujmowane są straty dotyczące niepowtarzalnych zdarzeń, niezakwalifikowane do pozostałych przychodów)</w:t>
      </w:r>
    </w:p>
    <w:p w:rsidR="00E06E8F" w:rsidRDefault="00E06E8F" w:rsidP="00E06E8F">
      <w:pPr>
        <w:spacing w:before="100" w:beforeAutospacing="1" w:after="100" w:afterAutospacing="1" w:line="240" w:lineRule="auto"/>
        <w:jc w:val="both"/>
        <w:outlineLvl w:val="1"/>
        <w:rPr>
          <w:rFonts w:ascii="Arial" w:eastAsia="Times New Roman" w:hAnsi="Arial" w:cs="Arial"/>
          <w:sz w:val="24"/>
          <w:szCs w:val="24"/>
          <w:lang w:eastAsia="pl-PL"/>
        </w:rPr>
      </w:pPr>
    </w:p>
    <w:p w:rsidR="00E06E8F" w:rsidRPr="00E06E8F" w:rsidRDefault="00E06E8F" w:rsidP="00E06E8F">
      <w:pPr>
        <w:spacing w:before="100" w:beforeAutospacing="1" w:after="100" w:afterAutospacing="1" w:line="240" w:lineRule="auto"/>
        <w:jc w:val="both"/>
        <w:outlineLvl w:val="1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E06E8F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Zespół 8 – fundusze, rezerwy i wynik finansowy</w:t>
      </w:r>
    </w:p>
    <w:p w:rsidR="00E06E8F" w:rsidRPr="00E06E8F" w:rsidRDefault="00E06E8F" w:rsidP="00E06E8F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E06E8F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800 – konto funduszu statutowego</w:t>
      </w:r>
    </w:p>
    <w:p w:rsidR="00E06E8F" w:rsidRPr="00E06E8F" w:rsidRDefault="00E06E8F" w:rsidP="00E06E8F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E06E8F">
        <w:rPr>
          <w:rFonts w:ascii="Arial" w:eastAsia="Times New Roman" w:hAnsi="Arial" w:cs="Arial"/>
          <w:sz w:val="24"/>
          <w:szCs w:val="24"/>
          <w:lang w:eastAsia="pl-PL"/>
        </w:rPr>
        <w:t>(stan tego konta przedstawia wysokość funduszu statutowego organizacji)</w:t>
      </w:r>
    </w:p>
    <w:p w:rsidR="00E06E8F" w:rsidRPr="00E06E8F" w:rsidRDefault="00E06E8F" w:rsidP="00E06E8F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E06E8F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820 – konto rozliczenia wyniku finansowego</w:t>
      </w:r>
    </w:p>
    <w:p w:rsidR="00E06E8F" w:rsidRPr="00E06E8F" w:rsidRDefault="00E06E8F" w:rsidP="00E06E8F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E06E8F">
        <w:rPr>
          <w:rFonts w:ascii="Arial" w:eastAsia="Times New Roman" w:hAnsi="Arial" w:cs="Arial"/>
          <w:sz w:val="24"/>
          <w:szCs w:val="24"/>
          <w:lang w:eastAsia="pl-PL"/>
        </w:rPr>
        <w:lastRenderedPageBreak/>
        <w:t>(na koncie tym rozlicza się wynik finansowy organizacji za rok poprzedni, zgodnie z przyjętą uchwałą zarządu)</w:t>
      </w:r>
    </w:p>
    <w:p w:rsidR="00E06E8F" w:rsidRPr="00E06E8F" w:rsidRDefault="00E06E8F" w:rsidP="00E06E8F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E06E8F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840 – konto rezerw</w:t>
      </w:r>
    </w:p>
    <w:p w:rsidR="00E06E8F" w:rsidRPr="00E06E8F" w:rsidRDefault="00E06E8F" w:rsidP="00E06E8F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E06E8F">
        <w:rPr>
          <w:rFonts w:ascii="Arial" w:eastAsia="Times New Roman" w:hAnsi="Arial" w:cs="Arial"/>
          <w:sz w:val="24"/>
          <w:szCs w:val="24"/>
          <w:lang w:eastAsia="pl-PL"/>
        </w:rPr>
        <w:t>(służy do ewidencji tworzonych rezerw, np. na należności)</w:t>
      </w:r>
    </w:p>
    <w:p w:rsidR="00E06E8F" w:rsidRPr="00E06E8F" w:rsidRDefault="00E06E8F" w:rsidP="00E06E8F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E06E8F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845 – konto przychodów przyszłych okresów</w:t>
      </w:r>
    </w:p>
    <w:p w:rsidR="00E06E8F" w:rsidRPr="00E06E8F" w:rsidRDefault="00E06E8F" w:rsidP="00E06E8F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E06E8F">
        <w:rPr>
          <w:rFonts w:ascii="Arial" w:eastAsia="Times New Roman" w:hAnsi="Arial" w:cs="Arial"/>
          <w:sz w:val="24"/>
          <w:szCs w:val="24"/>
          <w:lang w:eastAsia="pl-PL"/>
        </w:rPr>
        <w:t>(ewidencjonuje przychody otrzymane w bieżącym okresie sprawozdawczym, a dotyczące realizacji kosztów w terminie późniejszym)</w:t>
      </w:r>
    </w:p>
    <w:p w:rsidR="00E06E8F" w:rsidRPr="00E06E8F" w:rsidRDefault="00E06E8F" w:rsidP="00E06E8F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E06E8F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850 – konto Zakładowego Funduszu Świadczeń Socjalnych</w:t>
      </w:r>
    </w:p>
    <w:p w:rsidR="00E06E8F" w:rsidRPr="00E06E8F" w:rsidRDefault="00E06E8F" w:rsidP="00E06E8F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E06E8F">
        <w:rPr>
          <w:rFonts w:ascii="Arial" w:eastAsia="Times New Roman" w:hAnsi="Arial" w:cs="Arial"/>
          <w:sz w:val="24"/>
          <w:szCs w:val="24"/>
          <w:lang w:eastAsia="pl-PL"/>
        </w:rPr>
        <w:t>(na tym koncie księgowane są zwiększenia (odpisy) i operacje dotyczące wykorzystania ZFŚS)</w:t>
      </w:r>
    </w:p>
    <w:p w:rsidR="00E06E8F" w:rsidRPr="00E06E8F" w:rsidRDefault="00E06E8F" w:rsidP="00E06E8F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E06E8F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860 – konto wyniku finansowego</w:t>
      </w:r>
    </w:p>
    <w:p w:rsidR="00E06E8F" w:rsidRPr="00E06E8F" w:rsidRDefault="00E06E8F" w:rsidP="00E06E8F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E06E8F">
        <w:rPr>
          <w:rFonts w:ascii="Arial" w:eastAsia="Times New Roman" w:hAnsi="Arial" w:cs="Arial"/>
          <w:sz w:val="24"/>
          <w:szCs w:val="24"/>
          <w:lang w:eastAsia="pl-PL"/>
        </w:rPr>
        <w:t>(na konto wyniku przeksięgowuje się na koniec okresu sprawozdawczego wszystkie przychody i koszty; różnica pomiędzy przychodami i kosztami stanowi wynik finansowy organizacji za dany okres).</w:t>
      </w:r>
    </w:p>
    <w:p w:rsidR="00E06E8F" w:rsidRPr="00E06E8F" w:rsidRDefault="00E06E8F" w:rsidP="00E06E8F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E06E8F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870 – konto podatku dochodowego od osób prawnych</w:t>
      </w:r>
    </w:p>
    <w:p w:rsidR="00E06E8F" w:rsidRPr="00E06E8F" w:rsidRDefault="00E06E8F" w:rsidP="00E06E8F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E06E8F">
        <w:rPr>
          <w:rFonts w:ascii="Arial" w:eastAsia="Times New Roman" w:hAnsi="Arial" w:cs="Arial"/>
          <w:sz w:val="24"/>
          <w:szCs w:val="24"/>
          <w:lang w:eastAsia="pl-PL"/>
        </w:rPr>
        <w:t>(ewidencja rozliczenia ewentualnego PDOP)</w:t>
      </w:r>
    </w:p>
    <w:p w:rsidR="00E06E8F" w:rsidRDefault="00E06E8F" w:rsidP="00E06E8F">
      <w:pPr>
        <w:jc w:val="both"/>
        <w:rPr>
          <w:rFonts w:ascii="Arial" w:hAnsi="Arial" w:cs="Arial"/>
          <w:sz w:val="24"/>
          <w:szCs w:val="24"/>
        </w:rPr>
      </w:pPr>
    </w:p>
    <w:p w:rsidR="00E06E8F" w:rsidRDefault="00E06E8F" w:rsidP="00E06E8F">
      <w:pPr>
        <w:jc w:val="both"/>
        <w:rPr>
          <w:rFonts w:ascii="Arial" w:hAnsi="Arial" w:cs="Arial"/>
          <w:sz w:val="24"/>
          <w:szCs w:val="24"/>
        </w:rPr>
      </w:pPr>
    </w:p>
    <w:p w:rsidR="00E06E8F" w:rsidRPr="00E06E8F" w:rsidRDefault="00E06E8F" w:rsidP="00E06E8F">
      <w:pPr>
        <w:jc w:val="both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sectPr w:rsidR="00E06E8F" w:rsidRPr="00E06E8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4718FF"/>
    <w:multiLevelType w:val="multilevel"/>
    <w:tmpl w:val="54CA26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20B5E36"/>
    <w:multiLevelType w:val="multilevel"/>
    <w:tmpl w:val="186A18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8112DD8"/>
    <w:multiLevelType w:val="multilevel"/>
    <w:tmpl w:val="F18AF6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AC858AD"/>
    <w:multiLevelType w:val="multilevel"/>
    <w:tmpl w:val="66E019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55CC313A"/>
    <w:multiLevelType w:val="multilevel"/>
    <w:tmpl w:val="89CE0A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0A85F83"/>
    <w:multiLevelType w:val="multilevel"/>
    <w:tmpl w:val="E5C2E7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76056E86"/>
    <w:multiLevelType w:val="multilevel"/>
    <w:tmpl w:val="D638BF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5"/>
  </w:num>
  <w:num w:numId="4">
    <w:abstractNumId w:val="6"/>
  </w:num>
  <w:num w:numId="5">
    <w:abstractNumId w:val="4"/>
  </w:num>
  <w:num w:numId="6">
    <w:abstractNumId w:val="1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1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6E8F"/>
    <w:rsid w:val="005D1EFE"/>
    <w:rsid w:val="0064684B"/>
    <w:rsid w:val="00652C57"/>
    <w:rsid w:val="00E06E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AC38629-19AF-43FB-928A-534DFA9246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E06E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E06E8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32425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9477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5173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219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37576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3506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6977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9096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0147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74186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5307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124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4580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27160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84802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814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439710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588259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249726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711466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9562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51451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4024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904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21917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43452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0311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51946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860670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196692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864610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554536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7447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4885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9948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5021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2048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64275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64977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033857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90041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904123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326007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6168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2922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2864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15881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461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6619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20250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1706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479804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24710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313009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4602418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6349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1925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854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143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0520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85130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4630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85377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78762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332289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987819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099870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39031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4727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50059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9538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5692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27485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20153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09025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871239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889170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8981121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00625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5946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1295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198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5260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918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699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723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31808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81521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1162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2749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78163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71671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21956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16287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835008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170936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55806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5332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1164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916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9162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9449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12</Pages>
  <Words>3451</Words>
  <Characters>20706</Characters>
  <Application>Microsoft Office Word</Application>
  <DocSecurity>0</DocSecurity>
  <Lines>172</Lines>
  <Paragraphs>48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Dominika i Andrzej</dc:creator>
  <cp:keywords/>
  <dc:description/>
  <cp:lastModifiedBy>Dominika i Andrzej</cp:lastModifiedBy>
  <cp:revision>2</cp:revision>
  <dcterms:created xsi:type="dcterms:W3CDTF">2021-02-07T09:34:00Z</dcterms:created>
  <dcterms:modified xsi:type="dcterms:W3CDTF">2021-02-07T10:20:00Z</dcterms:modified>
</cp:coreProperties>
</file>