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C9F" w:rsidRPr="00AA5C9F" w:rsidRDefault="00AA5C9F">
      <w:pPr>
        <w:rPr>
          <w:b/>
          <w:sz w:val="26"/>
          <w:szCs w:val="26"/>
        </w:rPr>
      </w:pPr>
      <w:r w:rsidRPr="00AA5C9F">
        <w:rPr>
          <w:b/>
          <w:sz w:val="26"/>
          <w:szCs w:val="26"/>
        </w:rPr>
        <w:t>Zarządzanie systemami bhp</w:t>
      </w:r>
      <w:r w:rsidR="008A32E3">
        <w:rPr>
          <w:b/>
          <w:sz w:val="26"/>
          <w:szCs w:val="26"/>
        </w:rPr>
        <w:t xml:space="preserve"> - III BHP</w:t>
      </w:r>
    </w:p>
    <w:p w:rsidR="00BF38B9" w:rsidRPr="00AA5C9F" w:rsidRDefault="00AA5C9F">
      <w:pPr>
        <w:rPr>
          <w:b/>
          <w:sz w:val="26"/>
          <w:szCs w:val="26"/>
        </w:rPr>
      </w:pPr>
      <w:r w:rsidRPr="00AA5C9F">
        <w:rPr>
          <w:b/>
          <w:sz w:val="26"/>
          <w:szCs w:val="26"/>
        </w:rPr>
        <w:t>Temat</w:t>
      </w:r>
      <w:r w:rsidR="008A32E3">
        <w:rPr>
          <w:b/>
          <w:sz w:val="26"/>
          <w:szCs w:val="26"/>
        </w:rPr>
        <w:t xml:space="preserve"> 1</w:t>
      </w:r>
      <w:r w:rsidRPr="00AA5C9F">
        <w:rPr>
          <w:b/>
          <w:sz w:val="26"/>
          <w:szCs w:val="26"/>
        </w:rPr>
        <w:t>: Wybór metody oceny ryzyka zawodowego.</w:t>
      </w:r>
    </w:p>
    <w:p w:rsidR="00AA5C9F" w:rsidRDefault="00AA5C9F">
      <w:bookmarkStart w:id="0" w:name="_GoBack"/>
      <w:r>
        <w:t xml:space="preserve">Metody analizy i oceny ryzyka można podzielić na metody dedukcyjne i indukcyjne, biorąc pod uwagę </w:t>
      </w:r>
      <w:bookmarkEnd w:id="0"/>
      <w:r>
        <w:t>zastosowane techniki logicznego postępowania.</w:t>
      </w:r>
    </w:p>
    <w:p w:rsidR="00AA5C9F" w:rsidRDefault="00AA5C9F" w:rsidP="00AA5C9F">
      <w:pPr>
        <w:jc w:val="both"/>
      </w:pPr>
      <w:r w:rsidRPr="00454218">
        <w:rPr>
          <w:b/>
        </w:rPr>
        <w:t>W metodach dedukcyjnych</w:t>
      </w:r>
      <w:r>
        <w:t xml:space="preserve"> zakłada się określone zdarzenie końcowe, a następnie szuka się zdarzeń szczegółowych, które mogły wywołać zdarzenie końcowe. Metoda ta jest znana jako metoda od ogółu do szczegółu.</w:t>
      </w:r>
    </w:p>
    <w:p w:rsidR="00AA5C9F" w:rsidRDefault="00AA5C9F" w:rsidP="00AA5C9F">
      <w:pPr>
        <w:jc w:val="both"/>
      </w:pPr>
      <w:r>
        <w:t xml:space="preserve">W </w:t>
      </w:r>
      <w:r w:rsidRPr="00454218">
        <w:rPr>
          <w:b/>
        </w:rPr>
        <w:t>metodach indukcyjnych</w:t>
      </w:r>
      <w:r>
        <w:t xml:space="preserve"> zakłada się niepoprawność działania np. brak środków ochrony przed upadkiem z wysokości. Po przeprowadzeniu analiz formułuje się hipotezy wskazujące na zdarzenia, które mogły być spowodowane tą niepoprawnością. Do tego typu analiz zalicza się analizę:</w:t>
      </w:r>
    </w:p>
    <w:p w:rsidR="00AA5C9F" w:rsidRDefault="00AA5C9F" w:rsidP="00AA5C9F">
      <w:pPr>
        <w:jc w:val="both"/>
      </w:pPr>
      <w:r>
        <w:t>- JSA - analizę bezpieczeństwa pracy</w:t>
      </w:r>
    </w:p>
    <w:p w:rsidR="00AA5C9F" w:rsidRDefault="00AA5C9F" w:rsidP="00AA5C9F">
      <w:pPr>
        <w:jc w:val="both"/>
      </w:pPr>
      <w:r>
        <w:t>- HAZOP - studium zagrożeń i zdolności operacyjnych</w:t>
      </w:r>
    </w:p>
    <w:p w:rsidR="00AA5C9F" w:rsidRDefault="00AA5C9F" w:rsidP="00AA5C9F">
      <w:pPr>
        <w:jc w:val="both"/>
      </w:pPr>
      <w:r>
        <w:t>- FMEA - analizę rodzaju błędu i skutków</w:t>
      </w:r>
    </w:p>
    <w:p w:rsidR="00AA5C9F" w:rsidRDefault="00AA5C9F" w:rsidP="00AA5C9F">
      <w:pPr>
        <w:jc w:val="both"/>
      </w:pPr>
      <w:r>
        <w:t>- ETA - metodę analizy drzewa zdarzeń.</w:t>
      </w:r>
    </w:p>
    <w:p w:rsidR="00AA5C9F" w:rsidRDefault="00AA5C9F" w:rsidP="00AA5C9F">
      <w:pPr>
        <w:jc w:val="both"/>
      </w:pPr>
      <w:r>
        <w:t>Ze względu na precyzję oceny ryzyka rozróżnia się metody ilościowe i jakościowe.</w:t>
      </w:r>
    </w:p>
    <w:p w:rsidR="00454218" w:rsidRDefault="00454218" w:rsidP="00AA5C9F">
      <w:pPr>
        <w:jc w:val="both"/>
      </w:pPr>
      <w:r w:rsidRPr="00454218">
        <w:rPr>
          <w:b/>
        </w:rPr>
        <w:t>Metody ilościowe</w:t>
      </w:r>
      <w:r>
        <w:t xml:space="preserve"> mogą być wykorzystane gdy dostępna jest odpowiednia ilość danych statystycznych dotyczących liczby i rodzaju wypadków, zdarzeń potencjalnie wypadkowych, chorób zawodowych, czasu narażenia na czynniki środowiska pracy, liczby zatrudnionych. Metody te wykorzystuje się do oceny niezawodności i bezpieczeństwa procesów technologicznych, w których skutki ewentualnych awarii i katastrof mogą mieć duży zasięg i objąć znaczną liczbę osób. Do metod ilościowych należą:</w:t>
      </w:r>
    </w:p>
    <w:p w:rsidR="00454218" w:rsidRDefault="00454218" w:rsidP="00454218">
      <w:pPr>
        <w:jc w:val="both"/>
      </w:pPr>
      <w:r>
        <w:t>- HAZOP - studium zagrożeń i zdolności operacyjnych</w:t>
      </w:r>
    </w:p>
    <w:p w:rsidR="00454218" w:rsidRDefault="00454218" w:rsidP="00454218">
      <w:pPr>
        <w:jc w:val="both"/>
      </w:pPr>
      <w:r>
        <w:t>- FMEA - analizę rodzaju błędu i skutków</w:t>
      </w:r>
    </w:p>
    <w:p w:rsidR="00454218" w:rsidRDefault="00454218" w:rsidP="00454218">
      <w:pPr>
        <w:jc w:val="both"/>
      </w:pPr>
      <w:r>
        <w:t>- PSA - analiza bezpieczeństwa procesu</w:t>
      </w:r>
    </w:p>
    <w:p w:rsidR="00454218" w:rsidRDefault="00454218" w:rsidP="00454218">
      <w:pPr>
        <w:jc w:val="both"/>
      </w:pPr>
      <w:r>
        <w:t>- FTA - analiza drzewa błędów</w:t>
      </w:r>
    </w:p>
    <w:p w:rsidR="00454218" w:rsidRDefault="00454218" w:rsidP="00454218">
      <w:pPr>
        <w:jc w:val="both"/>
      </w:pPr>
      <w:r>
        <w:t>- ETA - metodę analizy drzewa zdarzeń</w:t>
      </w:r>
    </w:p>
    <w:p w:rsidR="00454218" w:rsidRDefault="00454218" w:rsidP="00454218">
      <w:pPr>
        <w:jc w:val="both"/>
      </w:pPr>
      <w:r>
        <w:t>- CCA - analiza przyczyn i skutków</w:t>
      </w:r>
    </w:p>
    <w:p w:rsidR="00454218" w:rsidRDefault="00454218" w:rsidP="00454218">
      <w:pPr>
        <w:jc w:val="both"/>
      </w:pPr>
      <w:r>
        <w:t>- HRA - analiza niezawodności ludzkiej</w:t>
      </w:r>
    </w:p>
    <w:p w:rsidR="00454218" w:rsidRDefault="00454218" w:rsidP="00454218">
      <w:pPr>
        <w:jc w:val="both"/>
      </w:pPr>
      <w:r w:rsidRPr="00454218">
        <w:rPr>
          <w:b/>
        </w:rPr>
        <w:t>Metody jakościowe</w:t>
      </w:r>
      <w:r>
        <w:t xml:space="preserve"> stosuje się najczęściej do oceny ryzyka zawodowego, gdy nie ma dostępu do danych statystycznych, które pozwalają na wiarygodne ilościowe szacowanie ryzyka, lub gdy nie są wskazane skomplikowane metody ilościowe. Ocena ryzyka zawodowego przeprowadzona za pomocą tych metod jest subiektywna. Metody te można podzielić na 3 grupy:</w:t>
      </w:r>
    </w:p>
    <w:p w:rsidR="00454218" w:rsidRDefault="00454218" w:rsidP="00454218">
      <w:pPr>
        <w:jc w:val="both"/>
      </w:pPr>
      <w:r>
        <w:lastRenderedPageBreak/>
        <w:t>- matrycowe</w:t>
      </w:r>
    </w:p>
    <w:p w:rsidR="00454218" w:rsidRDefault="00454218" w:rsidP="00454218">
      <w:pPr>
        <w:jc w:val="both"/>
      </w:pPr>
      <w:r>
        <w:t>- wskaźnikowe</w:t>
      </w:r>
    </w:p>
    <w:p w:rsidR="00454218" w:rsidRDefault="00454218" w:rsidP="00454218">
      <w:pPr>
        <w:jc w:val="both"/>
      </w:pPr>
      <w:r>
        <w:t>- grafy ryzyka.</w:t>
      </w:r>
    </w:p>
    <w:p w:rsidR="00454218" w:rsidRDefault="00454218" w:rsidP="00454218">
      <w:pPr>
        <w:jc w:val="both"/>
      </w:pPr>
      <w:r>
        <w:t xml:space="preserve">Wybór konkretnej metody oceny ryzyka zawodowego powinien być poprzedzony zapoznaniem się </w:t>
      </w:r>
      <w:r w:rsidR="00F36690">
        <w:br/>
      </w:r>
      <w:r>
        <w:t>z cechami charakterystycznymi danej grupy metod.</w:t>
      </w:r>
    </w:p>
    <w:p w:rsidR="00454218" w:rsidRDefault="00F5589B" w:rsidP="00454218">
      <w:pPr>
        <w:jc w:val="both"/>
      </w:pPr>
      <w:r w:rsidRPr="008A32E3">
        <w:rPr>
          <w:b/>
          <w:i/>
        </w:rPr>
        <w:t>Metody matrycowe</w:t>
      </w:r>
      <w:r>
        <w:t xml:space="preserve"> - są metodami indukcyjnymi, jakościowymi. Wartościowanie ryzyka odbywa się na podstawie matrycy zbudowanej z dwóch parametrów, którymi są:</w:t>
      </w:r>
    </w:p>
    <w:p w:rsidR="00F5589B" w:rsidRDefault="00F5589B" w:rsidP="00454218">
      <w:pPr>
        <w:jc w:val="both"/>
      </w:pPr>
      <w:r>
        <w:t>- możliwe skutki wystąpienia zagrożenia</w:t>
      </w:r>
    </w:p>
    <w:p w:rsidR="00F5589B" w:rsidRDefault="00F5589B" w:rsidP="00454218">
      <w:pPr>
        <w:jc w:val="both"/>
      </w:pPr>
      <w:r>
        <w:t>- prawdopodobieństwo wystąpienia zagrożenia.</w:t>
      </w:r>
    </w:p>
    <w:p w:rsidR="00F5589B" w:rsidRDefault="00F5589B" w:rsidP="00454218">
      <w:pPr>
        <w:jc w:val="both"/>
      </w:pPr>
      <w:r>
        <w:t xml:space="preserve">Stosuje się je na różnych  etapach projektowania, budowania i eksploatacji obiektów lub stanowisk pracy. Najbardziej znaną metodą matrycową jest </w:t>
      </w:r>
      <w:r w:rsidRPr="00F5589B">
        <w:rPr>
          <w:b/>
        </w:rPr>
        <w:t>wstępna analiza zagrożeń PHA</w:t>
      </w:r>
      <w:r>
        <w:t xml:space="preserve"> i analiza bezpieczeństwa pracy JSA.</w:t>
      </w:r>
    </w:p>
    <w:p w:rsidR="00F5589B" w:rsidRDefault="00F5589B" w:rsidP="00454218">
      <w:pPr>
        <w:jc w:val="both"/>
      </w:pPr>
      <w:r w:rsidRPr="008A32E3">
        <w:rPr>
          <w:b/>
          <w:i/>
        </w:rPr>
        <w:t>Metody wskaźnikowe</w:t>
      </w:r>
      <w:r>
        <w:t xml:space="preserve"> - są metodami wieloparametrowymi i wielopoziomowymi. </w:t>
      </w:r>
      <w:r w:rsidR="008A32E3">
        <w:t xml:space="preserve">Wartościowanie ryzyka w tych metodach odbywa się na podstawie tabel z wartościami wag parametrów ryzyka. </w:t>
      </w:r>
      <w:r>
        <w:t>Parametry określające ryzyko w tych metodach to:</w:t>
      </w:r>
    </w:p>
    <w:p w:rsidR="00F5589B" w:rsidRDefault="00F5589B" w:rsidP="00454218">
      <w:pPr>
        <w:jc w:val="both"/>
      </w:pPr>
      <w:r>
        <w:t>- możliwe skutki wystąpienia zagrożenia</w:t>
      </w:r>
    </w:p>
    <w:p w:rsidR="00F5589B" w:rsidRDefault="00F5589B" w:rsidP="00454218">
      <w:pPr>
        <w:jc w:val="both"/>
      </w:pPr>
      <w:r>
        <w:t>- prawdopodobieństwo wystąpienia zagrożenia</w:t>
      </w:r>
    </w:p>
    <w:p w:rsidR="00F5589B" w:rsidRDefault="00F5589B" w:rsidP="00454218">
      <w:pPr>
        <w:jc w:val="both"/>
      </w:pPr>
      <w:r>
        <w:t>- ekspozycja na zagrożenie</w:t>
      </w:r>
    </w:p>
    <w:p w:rsidR="00F5589B" w:rsidRDefault="00F5589B" w:rsidP="00454218">
      <w:pPr>
        <w:jc w:val="both"/>
      </w:pPr>
      <w:r>
        <w:t>- możliwość wyeliminowania, ograniczenia, zmniejszenia zagrożenia</w:t>
      </w:r>
    </w:p>
    <w:p w:rsidR="00F5589B" w:rsidRDefault="00F5589B" w:rsidP="00454218">
      <w:pPr>
        <w:jc w:val="both"/>
      </w:pPr>
      <w:r>
        <w:t>- liczba osób narażonych</w:t>
      </w:r>
    </w:p>
    <w:p w:rsidR="00F5589B" w:rsidRDefault="00F5589B" w:rsidP="00454218">
      <w:pPr>
        <w:jc w:val="both"/>
      </w:pPr>
      <w:r>
        <w:t>- rodzaj i zakres szkód</w:t>
      </w:r>
    </w:p>
    <w:p w:rsidR="00F5589B" w:rsidRDefault="00F5589B" w:rsidP="00454218">
      <w:pPr>
        <w:jc w:val="both"/>
      </w:pPr>
      <w:r>
        <w:t>To tej grupy metod należą:</w:t>
      </w:r>
    </w:p>
    <w:p w:rsidR="00F5589B" w:rsidRDefault="00F5589B" w:rsidP="00454218">
      <w:pPr>
        <w:jc w:val="both"/>
      </w:pPr>
      <w:r>
        <w:t xml:space="preserve">- </w:t>
      </w:r>
      <w:proofErr w:type="spellStart"/>
      <w:r>
        <w:t>Risk</w:t>
      </w:r>
      <w:proofErr w:type="spellEnd"/>
      <w:r>
        <w:t xml:space="preserve"> </w:t>
      </w:r>
      <w:proofErr w:type="spellStart"/>
      <w:r>
        <w:t>Score</w:t>
      </w:r>
      <w:proofErr w:type="spellEnd"/>
      <w:r>
        <w:t xml:space="preserve"> - metoda wskaźnika ryzyka</w:t>
      </w:r>
    </w:p>
    <w:p w:rsidR="00F5589B" w:rsidRDefault="00F5589B" w:rsidP="00454218">
      <w:pPr>
        <w:jc w:val="both"/>
      </w:pPr>
      <w:r>
        <w:t>- metoda pięciu kroków</w:t>
      </w:r>
    </w:p>
    <w:p w:rsidR="00F5589B" w:rsidRDefault="00F5589B" w:rsidP="00454218">
      <w:pPr>
        <w:jc w:val="both"/>
      </w:pPr>
      <w:r>
        <w:t>- WPR - metoda wskaźnika poziomu ryzyka</w:t>
      </w:r>
      <w:r w:rsidR="008A32E3">
        <w:t xml:space="preserve"> i inne.</w:t>
      </w:r>
    </w:p>
    <w:p w:rsidR="00454218" w:rsidRDefault="008A32E3" w:rsidP="00AA5C9F">
      <w:pPr>
        <w:jc w:val="both"/>
      </w:pPr>
      <w:r w:rsidRPr="008A32E3">
        <w:rPr>
          <w:b/>
          <w:i/>
        </w:rPr>
        <w:t>Metody grafu ryzyka</w:t>
      </w:r>
      <w:r>
        <w:t xml:space="preserve"> - są metodami wieloparametrowymi, jakościowymi, wzorowanymi na teorii grafów. Parametrami najczęściej są: częstotliwość, z jaką występuje zagrożenie lub ekspozycja na zagrożenie, prawdopodobieństwo wystąpienia zdarzenia oraz możliwość zmniejszenia lub ograniczenia zagrożenia. Szacowanie parametrów ryzyka odbywa się na kilku poziomach.</w:t>
      </w:r>
    </w:p>
    <w:p w:rsidR="008A32E3" w:rsidRDefault="008A32E3" w:rsidP="00AA5C9F">
      <w:pPr>
        <w:jc w:val="both"/>
      </w:pPr>
      <w:r>
        <w:t xml:space="preserve">Wybór metod zależy przede wszystkim od przedmiotu oceny. Niezbędna jest ocena dostępnych informacji o stanowiskach pracy i występujących na nich zagrożeniach. </w:t>
      </w:r>
    </w:p>
    <w:p w:rsidR="008A32E3" w:rsidRPr="008A32E3" w:rsidRDefault="008A32E3" w:rsidP="00AA5C9F">
      <w:pPr>
        <w:jc w:val="both"/>
        <w:rPr>
          <w:b/>
          <w:sz w:val="26"/>
          <w:szCs w:val="26"/>
        </w:rPr>
      </w:pPr>
      <w:r w:rsidRPr="008A32E3">
        <w:rPr>
          <w:b/>
          <w:sz w:val="26"/>
          <w:szCs w:val="26"/>
        </w:rPr>
        <w:lastRenderedPageBreak/>
        <w:t>Temat 2: Wstępna analiza zagrożeń - PHA.</w:t>
      </w:r>
    </w:p>
    <w:p w:rsidR="008A32E3" w:rsidRDefault="00F36690" w:rsidP="00AA5C9F">
      <w:pPr>
        <w:jc w:val="both"/>
      </w:pPr>
      <w:r>
        <w:t>Jest to matrycowa metoda indukcyjna, pozwalająca na jakościowe oszacowanie ryzyka związanego</w:t>
      </w:r>
      <w:r>
        <w:br/>
        <w:t xml:space="preserve">z zagrożeniami, sytuacjami niebezpiecznymi i zdarzeniami  niebezpiecznymi. </w:t>
      </w:r>
    </w:p>
    <w:p w:rsidR="00F36690" w:rsidRDefault="00F36690" w:rsidP="00AA5C9F">
      <w:pPr>
        <w:jc w:val="both"/>
      </w:pPr>
      <w:r>
        <w:t xml:space="preserve">Oszacowanie ryzyka polega na określeniu potencjalnych strat przez </w:t>
      </w:r>
      <w:r w:rsidRPr="00F36690">
        <w:rPr>
          <w:b/>
        </w:rPr>
        <w:t>stopień szkód</w:t>
      </w:r>
      <w:r>
        <w:rPr>
          <w:b/>
        </w:rPr>
        <w:t xml:space="preserve"> -</w:t>
      </w:r>
      <w:r>
        <w:t xml:space="preserve"> </w:t>
      </w:r>
      <w:r w:rsidRPr="00F36690">
        <w:rPr>
          <w:b/>
        </w:rPr>
        <w:t>S</w:t>
      </w:r>
      <w:r>
        <w:t xml:space="preserve"> i </w:t>
      </w:r>
      <w:r w:rsidRPr="00F36690">
        <w:rPr>
          <w:b/>
        </w:rPr>
        <w:t>prawdopodobieństwo zdarzenia</w:t>
      </w:r>
      <w:r>
        <w:t xml:space="preserve"> </w:t>
      </w:r>
      <w:r>
        <w:rPr>
          <w:b/>
        </w:rPr>
        <w:t xml:space="preserve">- </w:t>
      </w:r>
      <w:r w:rsidRPr="00F36690">
        <w:rPr>
          <w:b/>
        </w:rPr>
        <w:t>P</w:t>
      </w:r>
      <w:r>
        <w:t>, z jakim te szkody mogą wystąpić.</w:t>
      </w:r>
    </w:p>
    <w:p w:rsidR="00F36690" w:rsidRDefault="00F36690" w:rsidP="00AA5C9F">
      <w:pPr>
        <w:jc w:val="both"/>
      </w:pPr>
      <w:r>
        <w:t>1. Wartościowanie ryzyka polega na obliczeniu wskaźnika</w:t>
      </w:r>
    </w:p>
    <w:p w:rsidR="00F36690" w:rsidRPr="00F36690" w:rsidRDefault="00F36690" w:rsidP="00F36690">
      <w:pPr>
        <w:jc w:val="center"/>
        <w:rPr>
          <w:b/>
        </w:rPr>
      </w:pPr>
      <w:r w:rsidRPr="00F36690">
        <w:rPr>
          <w:b/>
        </w:rPr>
        <w:t>W = S * P</w:t>
      </w:r>
    </w:p>
    <w:p w:rsidR="00F36690" w:rsidRDefault="00F36690" w:rsidP="00AA5C9F">
      <w:pPr>
        <w:jc w:val="both"/>
      </w:pPr>
      <w:r>
        <w:t>2. Szacowanie elementów ryzyka odbywa się według skali na sześciu poziomach.</w:t>
      </w:r>
    </w:p>
    <w:p w:rsidR="00F36690" w:rsidRDefault="00F36690" w:rsidP="00AA5C9F">
      <w:pPr>
        <w:jc w:val="both"/>
      </w:pPr>
      <w:r>
        <w:rPr>
          <w:noProof/>
          <w:lang w:eastAsia="pl-PL"/>
        </w:rPr>
        <w:drawing>
          <wp:inline distT="0" distB="0" distL="0" distR="0">
            <wp:extent cx="5753100" cy="256222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753100" cy="2562225"/>
                    </a:xfrm>
                    <a:prstGeom prst="rect">
                      <a:avLst/>
                    </a:prstGeom>
                    <a:noFill/>
                    <a:ln w="9525">
                      <a:noFill/>
                      <a:miter lim="800000"/>
                      <a:headEnd/>
                      <a:tailEnd/>
                    </a:ln>
                  </pic:spPr>
                </pic:pic>
              </a:graphicData>
            </a:graphic>
          </wp:inline>
        </w:drawing>
      </w:r>
    </w:p>
    <w:p w:rsidR="00F252DE" w:rsidRPr="00F252DE" w:rsidRDefault="00F252DE" w:rsidP="00F252DE">
      <w:pPr>
        <w:spacing w:after="0"/>
        <w:jc w:val="both"/>
        <w:rPr>
          <w:i/>
          <w:sz w:val="16"/>
          <w:szCs w:val="16"/>
        </w:rPr>
      </w:pPr>
      <w:r w:rsidRPr="00F252DE">
        <w:rPr>
          <w:i/>
          <w:sz w:val="16"/>
          <w:szCs w:val="16"/>
        </w:rPr>
        <w:t>Źródło: Zagrożenia w środowisku pracy i ocena ryzyka zawodowego, WSiP</w:t>
      </w:r>
    </w:p>
    <w:p w:rsidR="00F36690" w:rsidRDefault="00F36690" w:rsidP="00AA5C9F">
      <w:pPr>
        <w:jc w:val="both"/>
      </w:pPr>
      <w:r>
        <w:rPr>
          <w:noProof/>
          <w:lang w:eastAsia="pl-PL"/>
        </w:rPr>
        <w:drawing>
          <wp:inline distT="0" distB="0" distL="0" distR="0">
            <wp:extent cx="5762625" cy="2857500"/>
            <wp:effectExtent l="1905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5762625" cy="2857500"/>
                    </a:xfrm>
                    <a:prstGeom prst="rect">
                      <a:avLst/>
                    </a:prstGeom>
                    <a:noFill/>
                    <a:ln w="9525">
                      <a:noFill/>
                      <a:miter lim="800000"/>
                      <a:headEnd/>
                      <a:tailEnd/>
                    </a:ln>
                  </pic:spPr>
                </pic:pic>
              </a:graphicData>
            </a:graphic>
          </wp:inline>
        </w:drawing>
      </w:r>
    </w:p>
    <w:p w:rsidR="00F252DE" w:rsidRPr="00F252DE" w:rsidRDefault="00F252DE" w:rsidP="00F252DE">
      <w:pPr>
        <w:spacing w:after="0"/>
        <w:jc w:val="both"/>
        <w:rPr>
          <w:i/>
          <w:sz w:val="16"/>
          <w:szCs w:val="16"/>
        </w:rPr>
      </w:pPr>
      <w:r w:rsidRPr="00F252DE">
        <w:rPr>
          <w:i/>
          <w:sz w:val="16"/>
          <w:szCs w:val="16"/>
        </w:rPr>
        <w:t>Źródło: Zagrożenia w środowisku pracy i ocena ryzyka zawodowego, WSiP</w:t>
      </w:r>
    </w:p>
    <w:p w:rsidR="00F252DE" w:rsidRDefault="00F252DE" w:rsidP="00AA5C9F">
      <w:pPr>
        <w:jc w:val="both"/>
      </w:pPr>
    </w:p>
    <w:p w:rsidR="00F36690" w:rsidRDefault="007C4717" w:rsidP="00AA5C9F">
      <w:pPr>
        <w:jc w:val="both"/>
      </w:pPr>
      <w:r>
        <w:t>Po oszacowaniu parametrów ryzyka dokonuje się jego wartościowania na podstawie matrycy ryzyka.</w:t>
      </w:r>
    </w:p>
    <w:p w:rsidR="00F252DE" w:rsidRDefault="007C4717" w:rsidP="00AA5C9F">
      <w:pPr>
        <w:jc w:val="both"/>
      </w:pPr>
      <w:r>
        <w:lastRenderedPageBreak/>
        <w:t>3. Wartościowanie ryzyka</w:t>
      </w:r>
    </w:p>
    <w:p w:rsidR="00F252DE" w:rsidRPr="00F252DE" w:rsidRDefault="00F252DE" w:rsidP="00AA5C9F">
      <w:pPr>
        <w:jc w:val="both"/>
        <w:rPr>
          <w:i/>
        </w:rPr>
      </w:pPr>
      <w:r w:rsidRPr="00F252DE">
        <w:rPr>
          <w:i/>
        </w:rPr>
        <w:t>Tabela 15.3 Metoda PHA - matryca wartościowania ryzyka</w:t>
      </w:r>
    </w:p>
    <w:tbl>
      <w:tblPr>
        <w:tblStyle w:val="Tabela-Siatka"/>
        <w:tblW w:w="0" w:type="auto"/>
        <w:tblLook w:val="04A0" w:firstRow="1" w:lastRow="0" w:firstColumn="1" w:lastColumn="0" w:noHBand="0" w:noVBand="1"/>
      </w:tblPr>
      <w:tblGrid>
        <w:gridCol w:w="1151"/>
        <w:gridCol w:w="1151"/>
        <w:gridCol w:w="1151"/>
        <w:gridCol w:w="1151"/>
        <w:gridCol w:w="1152"/>
        <w:gridCol w:w="1152"/>
        <w:gridCol w:w="1152"/>
        <w:gridCol w:w="1152"/>
      </w:tblGrid>
      <w:tr w:rsidR="00F252DE" w:rsidTr="00FB63F3">
        <w:tc>
          <w:tcPr>
            <w:tcW w:w="1151" w:type="dxa"/>
          </w:tcPr>
          <w:p w:rsidR="00F252DE" w:rsidRDefault="00F252DE" w:rsidP="00AA5C9F">
            <w:pPr>
              <w:jc w:val="both"/>
            </w:pPr>
          </w:p>
        </w:tc>
        <w:tc>
          <w:tcPr>
            <w:tcW w:w="8061" w:type="dxa"/>
            <w:gridSpan w:val="7"/>
          </w:tcPr>
          <w:p w:rsidR="00F252DE" w:rsidRDefault="00F252DE" w:rsidP="00F252DE">
            <w:pPr>
              <w:jc w:val="center"/>
            </w:pPr>
            <w:r>
              <w:t>P - prawdopodobieństwo szkód</w:t>
            </w:r>
          </w:p>
        </w:tc>
      </w:tr>
      <w:tr w:rsidR="00F252DE" w:rsidTr="00F252DE">
        <w:tc>
          <w:tcPr>
            <w:tcW w:w="1151" w:type="dxa"/>
            <w:vMerge w:val="restart"/>
            <w:vAlign w:val="center"/>
          </w:tcPr>
          <w:p w:rsidR="00F252DE" w:rsidRDefault="00F252DE" w:rsidP="00F252DE">
            <w:pPr>
              <w:jc w:val="center"/>
            </w:pPr>
            <w:r>
              <w:t>S - stopień szkód</w:t>
            </w:r>
          </w:p>
        </w:tc>
        <w:tc>
          <w:tcPr>
            <w:tcW w:w="1151" w:type="dxa"/>
          </w:tcPr>
          <w:p w:rsidR="00F252DE" w:rsidRDefault="00F252DE" w:rsidP="00AA5C9F">
            <w:pPr>
              <w:jc w:val="both"/>
            </w:pPr>
            <w:r>
              <w:t>Poziom</w:t>
            </w:r>
          </w:p>
        </w:tc>
        <w:tc>
          <w:tcPr>
            <w:tcW w:w="1151" w:type="dxa"/>
          </w:tcPr>
          <w:p w:rsidR="00F252DE" w:rsidRDefault="00F252DE" w:rsidP="00F252DE">
            <w:pPr>
              <w:jc w:val="center"/>
            </w:pPr>
            <w:r>
              <w:t>1</w:t>
            </w:r>
          </w:p>
        </w:tc>
        <w:tc>
          <w:tcPr>
            <w:tcW w:w="1151" w:type="dxa"/>
          </w:tcPr>
          <w:p w:rsidR="00F252DE" w:rsidRDefault="00F252DE" w:rsidP="00F252DE">
            <w:pPr>
              <w:jc w:val="center"/>
            </w:pPr>
            <w:r>
              <w:t>2</w:t>
            </w:r>
          </w:p>
        </w:tc>
        <w:tc>
          <w:tcPr>
            <w:tcW w:w="1152" w:type="dxa"/>
          </w:tcPr>
          <w:p w:rsidR="00F252DE" w:rsidRDefault="00F252DE" w:rsidP="00F252DE">
            <w:pPr>
              <w:jc w:val="center"/>
            </w:pPr>
            <w:r>
              <w:t>3</w:t>
            </w:r>
          </w:p>
        </w:tc>
        <w:tc>
          <w:tcPr>
            <w:tcW w:w="1152" w:type="dxa"/>
          </w:tcPr>
          <w:p w:rsidR="00F252DE" w:rsidRDefault="00F252DE" w:rsidP="00F252DE">
            <w:pPr>
              <w:jc w:val="center"/>
            </w:pPr>
            <w:r>
              <w:t>4</w:t>
            </w:r>
          </w:p>
        </w:tc>
        <w:tc>
          <w:tcPr>
            <w:tcW w:w="1152" w:type="dxa"/>
          </w:tcPr>
          <w:p w:rsidR="00F252DE" w:rsidRDefault="00F252DE" w:rsidP="00F252DE">
            <w:pPr>
              <w:jc w:val="center"/>
            </w:pPr>
            <w:r>
              <w:t>5</w:t>
            </w:r>
          </w:p>
        </w:tc>
        <w:tc>
          <w:tcPr>
            <w:tcW w:w="1152" w:type="dxa"/>
          </w:tcPr>
          <w:p w:rsidR="00F252DE" w:rsidRDefault="00F252DE" w:rsidP="00F252DE">
            <w:pPr>
              <w:jc w:val="center"/>
            </w:pPr>
            <w:r>
              <w:t>6</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1</w:t>
            </w:r>
          </w:p>
        </w:tc>
        <w:tc>
          <w:tcPr>
            <w:tcW w:w="1151" w:type="dxa"/>
            <w:shd w:val="clear" w:color="auto" w:fill="92D050"/>
          </w:tcPr>
          <w:p w:rsidR="00F252DE" w:rsidRDefault="00F252DE" w:rsidP="00F252DE">
            <w:pPr>
              <w:jc w:val="center"/>
            </w:pPr>
            <w:r>
              <w:t>1</w:t>
            </w:r>
          </w:p>
        </w:tc>
        <w:tc>
          <w:tcPr>
            <w:tcW w:w="1151" w:type="dxa"/>
            <w:shd w:val="clear" w:color="auto" w:fill="92D050"/>
          </w:tcPr>
          <w:p w:rsidR="00F252DE" w:rsidRDefault="00F252DE" w:rsidP="00F252DE">
            <w:pPr>
              <w:jc w:val="center"/>
            </w:pPr>
            <w:r>
              <w:t>2</w:t>
            </w:r>
          </w:p>
        </w:tc>
        <w:tc>
          <w:tcPr>
            <w:tcW w:w="1152" w:type="dxa"/>
            <w:shd w:val="clear" w:color="auto" w:fill="92D050"/>
          </w:tcPr>
          <w:p w:rsidR="00F252DE" w:rsidRDefault="00F252DE" w:rsidP="00F252DE">
            <w:pPr>
              <w:jc w:val="center"/>
            </w:pPr>
            <w:r>
              <w:t>3</w:t>
            </w:r>
          </w:p>
        </w:tc>
        <w:tc>
          <w:tcPr>
            <w:tcW w:w="1152" w:type="dxa"/>
            <w:shd w:val="clear" w:color="auto" w:fill="FFFF00"/>
          </w:tcPr>
          <w:p w:rsidR="00F252DE" w:rsidRDefault="00F252DE" w:rsidP="00F252DE">
            <w:pPr>
              <w:jc w:val="center"/>
            </w:pPr>
            <w:r>
              <w:t>4</w:t>
            </w:r>
          </w:p>
        </w:tc>
        <w:tc>
          <w:tcPr>
            <w:tcW w:w="1152" w:type="dxa"/>
            <w:shd w:val="clear" w:color="auto" w:fill="FFFF00"/>
          </w:tcPr>
          <w:p w:rsidR="00F252DE" w:rsidRDefault="00F252DE" w:rsidP="00F252DE">
            <w:pPr>
              <w:jc w:val="center"/>
            </w:pPr>
            <w:r>
              <w:t>5</w:t>
            </w:r>
          </w:p>
        </w:tc>
        <w:tc>
          <w:tcPr>
            <w:tcW w:w="1152" w:type="dxa"/>
            <w:shd w:val="clear" w:color="auto" w:fill="FFFF00"/>
          </w:tcPr>
          <w:p w:rsidR="00F252DE" w:rsidRDefault="00F252DE" w:rsidP="00F252DE">
            <w:pPr>
              <w:jc w:val="center"/>
            </w:pPr>
            <w:r>
              <w:t>6</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2</w:t>
            </w:r>
          </w:p>
        </w:tc>
        <w:tc>
          <w:tcPr>
            <w:tcW w:w="1151" w:type="dxa"/>
            <w:shd w:val="clear" w:color="auto" w:fill="92D050"/>
          </w:tcPr>
          <w:p w:rsidR="00F252DE" w:rsidRDefault="00F252DE" w:rsidP="00F252DE">
            <w:pPr>
              <w:jc w:val="center"/>
            </w:pPr>
            <w:r>
              <w:t>2</w:t>
            </w:r>
          </w:p>
        </w:tc>
        <w:tc>
          <w:tcPr>
            <w:tcW w:w="1151" w:type="dxa"/>
            <w:shd w:val="clear" w:color="auto" w:fill="FFFF00"/>
          </w:tcPr>
          <w:p w:rsidR="00F252DE" w:rsidRDefault="00F252DE" w:rsidP="00F252DE">
            <w:pPr>
              <w:jc w:val="center"/>
            </w:pPr>
            <w:r>
              <w:t>4</w:t>
            </w:r>
          </w:p>
        </w:tc>
        <w:tc>
          <w:tcPr>
            <w:tcW w:w="1152" w:type="dxa"/>
            <w:shd w:val="clear" w:color="auto" w:fill="FFFF00"/>
          </w:tcPr>
          <w:p w:rsidR="00F252DE" w:rsidRDefault="00F252DE" w:rsidP="00F252DE">
            <w:pPr>
              <w:jc w:val="center"/>
            </w:pPr>
            <w:r>
              <w:t>6</w:t>
            </w:r>
          </w:p>
        </w:tc>
        <w:tc>
          <w:tcPr>
            <w:tcW w:w="1152" w:type="dxa"/>
            <w:shd w:val="clear" w:color="auto" w:fill="FFFF00"/>
          </w:tcPr>
          <w:p w:rsidR="00F252DE" w:rsidRDefault="00F252DE" w:rsidP="00F252DE">
            <w:pPr>
              <w:jc w:val="center"/>
            </w:pPr>
            <w:r>
              <w:t>8</w:t>
            </w:r>
          </w:p>
        </w:tc>
        <w:tc>
          <w:tcPr>
            <w:tcW w:w="1152" w:type="dxa"/>
            <w:shd w:val="clear" w:color="auto" w:fill="FF0000"/>
          </w:tcPr>
          <w:p w:rsidR="00F252DE" w:rsidRDefault="00F252DE" w:rsidP="00F252DE">
            <w:pPr>
              <w:jc w:val="center"/>
            </w:pPr>
            <w:r>
              <w:t>10</w:t>
            </w:r>
          </w:p>
        </w:tc>
        <w:tc>
          <w:tcPr>
            <w:tcW w:w="1152" w:type="dxa"/>
            <w:shd w:val="clear" w:color="auto" w:fill="FF0000"/>
          </w:tcPr>
          <w:p w:rsidR="00F252DE" w:rsidRDefault="00F252DE" w:rsidP="00F252DE">
            <w:pPr>
              <w:jc w:val="center"/>
            </w:pPr>
            <w:r>
              <w:t>12</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3</w:t>
            </w:r>
          </w:p>
        </w:tc>
        <w:tc>
          <w:tcPr>
            <w:tcW w:w="1151" w:type="dxa"/>
            <w:shd w:val="clear" w:color="auto" w:fill="92D050"/>
          </w:tcPr>
          <w:p w:rsidR="00F252DE" w:rsidRDefault="00F252DE" w:rsidP="00F252DE">
            <w:pPr>
              <w:jc w:val="center"/>
            </w:pPr>
            <w:r>
              <w:t>3</w:t>
            </w:r>
          </w:p>
        </w:tc>
        <w:tc>
          <w:tcPr>
            <w:tcW w:w="1151" w:type="dxa"/>
            <w:shd w:val="clear" w:color="auto" w:fill="FFFF00"/>
          </w:tcPr>
          <w:p w:rsidR="00F252DE" w:rsidRDefault="00F252DE" w:rsidP="00F252DE">
            <w:pPr>
              <w:jc w:val="center"/>
            </w:pPr>
            <w:r>
              <w:t>6</w:t>
            </w:r>
          </w:p>
        </w:tc>
        <w:tc>
          <w:tcPr>
            <w:tcW w:w="1152" w:type="dxa"/>
            <w:shd w:val="clear" w:color="auto" w:fill="FFFF00"/>
          </w:tcPr>
          <w:p w:rsidR="00F252DE" w:rsidRDefault="00F252DE" w:rsidP="00F252DE">
            <w:pPr>
              <w:jc w:val="center"/>
            </w:pPr>
            <w:r>
              <w:t>9</w:t>
            </w:r>
          </w:p>
        </w:tc>
        <w:tc>
          <w:tcPr>
            <w:tcW w:w="1152" w:type="dxa"/>
            <w:shd w:val="clear" w:color="auto" w:fill="FF0000"/>
          </w:tcPr>
          <w:p w:rsidR="00F252DE" w:rsidRDefault="00F252DE" w:rsidP="00F252DE">
            <w:pPr>
              <w:jc w:val="center"/>
            </w:pPr>
            <w:r>
              <w:t>12</w:t>
            </w:r>
          </w:p>
        </w:tc>
        <w:tc>
          <w:tcPr>
            <w:tcW w:w="1152" w:type="dxa"/>
            <w:shd w:val="clear" w:color="auto" w:fill="FF0000"/>
          </w:tcPr>
          <w:p w:rsidR="00F252DE" w:rsidRDefault="00F252DE" w:rsidP="00F252DE">
            <w:pPr>
              <w:jc w:val="center"/>
            </w:pPr>
            <w:r>
              <w:t>15</w:t>
            </w:r>
          </w:p>
        </w:tc>
        <w:tc>
          <w:tcPr>
            <w:tcW w:w="1152" w:type="dxa"/>
            <w:shd w:val="clear" w:color="auto" w:fill="FF0000"/>
          </w:tcPr>
          <w:p w:rsidR="00F252DE" w:rsidRDefault="00F252DE" w:rsidP="00F252DE">
            <w:pPr>
              <w:jc w:val="center"/>
            </w:pPr>
            <w:r>
              <w:t>18</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4</w:t>
            </w:r>
          </w:p>
        </w:tc>
        <w:tc>
          <w:tcPr>
            <w:tcW w:w="1151" w:type="dxa"/>
            <w:shd w:val="clear" w:color="auto" w:fill="FFFF00"/>
          </w:tcPr>
          <w:p w:rsidR="00F252DE" w:rsidRDefault="00F252DE" w:rsidP="00F252DE">
            <w:pPr>
              <w:jc w:val="center"/>
            </w:pPr>
            <w:r>
              <w:t>4</w:t>
            </w:r>
          </w:p>
        </w:tc>
        <w:tc>
          <w:tcPr>
            <w:tcW w:w="1151" w:type="dxa"/>
            <w:shd w:val="clear" w:color="auto" w:fill="FFFF00"/>
          </w:tcPr>
          <w:p w:rsidR="00F252DE" w:rsidRDefault="00F252DE" w:rsidP="00F252DE">
            <w:pPr>
              <w:jc w:val="center"/>
            </w:pPr>
            <w:r>
              <w:t>8</w:t>
            </w:r>
          </w:p>
        </w:tc>
        <w:tc>
          <w:tcPr>
            <w:tcW w:w="1152" w:type="dxa"/>
            <w:shd w:val="clear" w:color="auto" w:fill="FF0000"/>
          </w:tcPr>
          <w:p w:rsidR="00F252DE" w:rsidRDefault="00F252DE" w:rsidP="00F252DE">
            <w:pPr>
              <w:jc w:val="center"/>
            </w:pPr>
            <w:r>
              <w:t>12</w:t>
            </w:r>
          </w:p>
        </w:tc>
        <w:tc>
          <w:tcPr>
            <w:tcW w:w="1152" w:type="dxa"/>
            <w:shd w:val="clear" w:color="auto" w:fill="FF0000"/>
          </w:tcPr>
          <w:p w:rsidR="00F252DE" w:rsidRDefault="00F252DE" w:rsidP="00F252DE">
            <w:pPr>
              <w:jc w:val="center"/>
            </w:pPr>
            <w:r>
              <w:t>16</w:t>
            </w:r>
          </w:p>
        </w:tc>
        <w:tc>
          <w:tcPr>
            <w:tcW w:w="1152" w:type="dxa"/>
            <w:shd w:val="clear" w:color="auto" w:fill="FF0000"/>
          </w:tcPr>
          <w:p w:rsidR="00F252DE" w:rsidRDefault="00F252DE" w:rsidP="00F252DE">
            <w:pPr>
              <w:jc w:val="center"/>
            </w:pPr>
            <w:r>
              <w:t>20</w:t>
            </w:r>
          </w:p>
        </w:tc>
        <w:tc>
          <w:tcPr>
            <w:tcW w:w="1152" w:type="dxa"/>
            <w:shd w:val="clear" w:color="auto" w:fill="FF0000"/>
          </w:tcPr>
          <w:p w:rsidR="00F252DE" w:rsidRDefault="00F252DE" w:rsidP="00F252DE">
            <w:pPr>
              <w:jc w:val="center"/>
            </w:pPr>
            <w:r>
              <w:t>24</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5</w:t>
            </w:r>
          </w:p>
        </w:tc>
        <w:tc>
          <w:tcPr>
            <w:tcW w:w="1151" w:type="dxa"/>
            <w:shd w:val="clear" w:color="auto" w:fill="FFFF00"/>
          </w:tcPr>
          <w:p w:rsidR="00F252DE" w:rsidRDefault="00F252DE" w:rsidP="00F252DE">
            <w:pPr>
              <w:jc w:val="center"/>
            </w:pPr>
            <w:r>
              <w:t>5</w:t>
            </w:r>
          </w:p>
        </w:tc>
        <w:tc>
          <w:tcPr>
            <w:tcW w:w="1151" w:type="dxa"/>
            <w:shd w:val="clear" w:color="auto" w:fill="FF0000"/>
          </w:tcPr>
          <w:p w:rsidR="00F252DE" w:rsidRDefault="00F252DE" w:rsidP="00F252DE">
            <w:pPr>
              <w:jc w:val="center"/>
            </w:pPr>
            <w:r>
              <w:t>10</w:t>
            </w:r>
          </w:p>
        </w:tc>
        <w:tc>
          <w:tcPr>
            <w:tcW w:w="1152" w:type="dxa"/>
            <w:shd w:val="clear" w:color="auto" w:fill="FF0000"/>
          </w:tcPr>
          <w:p w:rsidR="00F252DE" w:rsidRDefault="00F252DE" w:rsidP="00F252DE">
            <w:pPr>
              <w:jc w:val="center"/>
            </w:pPr>
            <w:r>
              <w:t>15</w:t>
            </w:r>
          </w:p>
        </w:tc>
        <w:tc>
          <w:tcPr>
            <w:tcW w:w="1152" w:type="dxa"/>
            <w:shd w:val="clear" w:color="auto" w:fill="FF0000"/>
          </w:tcPr>
          <w:p w:rsidR="00F252DE" w:rsidRDefault="00F252DE" w:rsidP="00F252DE">
            <w:pPr>
              <w:jc w:val="center"/>
            </w:pPr>
            <w:r>
              <w:t>20</w:t>
            </w:r>
          </w:p>
        </w:tc>
        <w:tc>
          <w:tcPr>
            <w:tcW w:w="1152" w:type="dxa"/>
            <w:shd w:val="clear" w:color="auto" w:fill="FF0000"/>
          </w:tcPr>
          <w:p w:rsidR="00F252DE" w:rsidRDefault="00F252DE" w:rsidP="00F252DE">
            <w:pPr>
              <w:jc w:val="center"/>
            </w:pPr>
            <w:r>
              <w:t>25</w:t>
            </w:r>
          </w:p>
        </w:tc>
        <w:tc>
          <w:tcPr>
            <w:tcW w:w="1152" w:type="dxa"/>
            <w:shd w:val="clear" w:color="auto" w:fill="C00000"/>
          </w:tcPr>
          <w:p w:rsidR="00F252DE" w:rsidRDefault="00F252DE" w:rsidP="00F252DE">
            <w:pPr>
              <w:jc w:val="center"/>
            </w:pPr>
            <w:r>
              <w:t>30</w:t>
            </w:r>
          </w:p>
        </w:tc>
      </w:tr>
      <w:tr w:rsidR="00F252DE" w:rsidTr="00F252DE">
        <w:tc>
          <w:tcPr>
            <w:tcW w:w="1151" w:type="dxa"/>
            <w:vMerge/>
          </w:tcPr>
          <w:p w:rsidR="00F252DE" w:rsidRDefault="00F252DE" w:rsidP="00AA5C9F">
            <w:pPr>
              <w:jc w:val="both"/>
            </w:pPr>
          </w:p>
        </w:tc>
        <w:tc>
          <w:tcPr>
            <w:tcW w:w="1151" w:type="dxa"/>
          </w:tcPr>
          <w:p w:rsidR="00F252DE" w:rsidRDefault="00F252DE" w:rsidP="00F252DE">
            <w:pPr>
              <w:jc w:val="center"/>
            </w:pPr>
            <w:r>
              <w:t>6</w:t>
            </w:r>
          </w:p>
        </w:tc>
        <w:tc>
          <w:tcPr>
            <w:tcW w:w="1151" w:type="dxa"/>
            <w:shd w:val="clear" w:color="auto" w:fill="FFFF00"/>
          </w:tcPr>
          <w:p w:rsidR="00F252DE" w:rsidRDefault="00F252DE" w:rsidP="00F252DE">
            <w:pPr>
              <w:jc w:val="center"/>
            </w:pPr>
            <w:r>
              <w:t>6</w:t>
            </w:r>
          </w:p>
        </w:tc>
        <w:tc>
          <w:tcPr>
            <w:tcW w:w="1151" w:type="dxa"/>
            <w:shd w:val="clear" w:color="auto" w:fill="FF0000"/>
          </w:tcPr>
          <w:p w:rsidR="00F252DE" w:rsidRDefault="00F252DE" w:rsidP="00F252DE">
            <w:pPr>
              <w:jc w:val="center"/>
            </w:pPr>
            <w:r>
              <w:t>12</w:t>
            </w:r>
          </w:p>
        </w:tc>
        <w:tc>
          <w:tcPr>
            <w:tcW w:w="1152" w:type="dxa"/>
            <w:shd w:val="clear" w:color="auto" w:fill="FF0000"/>
          </w:tcPr>
          <w:p w:rsidR="00F252DE" w:rsidRDefault="00F252DE" w:rsidP="00F252DE">
            <w:pPr>
              <w:jc w:val="center"/>
            </w:pPr>
            <w:r>
              <w:t>18</w:t>
            </w:r>
          </w:p>
        </w:tc>
        <w:tc>
          <w:tcPr>
            <w:tcW w:w="1152" w:type="dxa"/>
            <w:shd w:val="clear" w:color="auto" w:fill="FF0000"/>
          </w:tcPr>
          <w:p w:rsidR="00F252DE" w:rsidRDefault="00F252DE" w:rsidP="00F252DE">
            <w:pPr>
              <w:jc w:val="center"/>
            </w:pPr>
            <w:r>
              <w:t>24</w:t>
            </w:r>
          </w:p>
        </w:tc>
        <w:tc>
          <w:tcPr>
            <w:tcW w:w="1152" w:type="dxa"/>
            <w:shd w:val="clear" w:color="auto" w:fill="C00000"/>
          </w:tcPr>
          <w:p w:rsidR="00F252DE" w:rsidRDefault="00F252DE" w:rsidP="00F252DE">
            <w:pPr>
              <w:jc w:val="center"/>
            </w:pPr>
            <w:r>
              <w:t>30</w:t>
            </w:r>
          </w:p>
        </w:tc>
        <w:tc>
          <w:tcPr>
            <w:tcW w:w="1152" w:type="dxa"/>
            <w:shd w:val="clear" w:color="auto" w:fill="C00000"/>
          </w:tcPr>
          <w:p w:rsidR="00F252DE" w:rsidRDefault="00F252DE" w:rsidP="00F252DE">
            <w:pPr>
              <w:jc w:val="center"/>
            </w:pPr>
            <w:r>
              <w:t>36</w:t>
            </w:r>
          </w:p>
        </w:tc>
      </w:tr>
    </w:tbl>
    <w:p w:rsidR="00F252DE" w:rsidRPr="00F252DE" w:rsidRDefault="00F252DE" w:rsidP="00AA5C9F">
      <w:pPr>
        <w:jc w:val="both"/>
        <w:rPr>
          <w:sz w:val="16"/>
          <w:szCs w:val="16"/>
        </w:rPr>
      </w:pPr>
    </w:p>
    <w:p w:rsidR="007C4717" w:rsidRDefault="007C4717" w:rsidP="00AA5C9F">
      <w:pPr>
        <w:jc w:val="both"/>
      </w:pPr>
      <w:r>
        <w:t>Poziom 1-5 dotyczą oceny ryzyka dla zdarzeń na terenie zakładu</w:t>
      </w:r>
    </w:p>
    <w:p w:rsidR="007C4717" w:rsidRDefault="007C4717" w:rsidP="00AA5C9F">
      <w:pPr>
        <w:jc w:val="both"/>
      </w:pPr>
      <w:r>
        <w:t>Poziom 6 -poza terenem zakładu</w:t>
      </w:r>
    </w:p>
    <w:p w:rsidR="00F36690" w:rsidRDefault="007C4717" w:rsidP="00AA5C9F">
      <w:pPr>
        <w:jc w:val="both"/>
      </w:pPr>
      <w:r>
        <w:t>4. Interpretacja wskaźnika ryzyka</w:t>
      </w:r>
    </w:p>
    <w:p w:rsidR="00F252DE" w:rsidRPr="00F252DE" w:rsidRDefault="00F252DE" w:rsidP="00AA5C9F">
      <w:pPr>
        <w:jc w:val="both"/>
        <w:rPr>
          <w:i/>
        </w:rPr>
      </w:pPr>
      <w:r w:rsidRPr="00F252DE">
        <w:rPr>
          <w:i/>
        </w:rPr>
        <w:t>Tabela 15.4.</w:t>
      </w:r>
    </w:p>
    <w:tbl>
      <w:tblPr>
        <w:tblStyle w:val="Tabela-Siatka"/>
        <w:tblW w:w="0" w:type="auto"/>
        <w:jc w:val="center"/>
        <w:tblLook w:val="04A0" w:firstRow="1" w:lastRow="0" w:firstColumn="1" w:lastColumn="0" w:noHBand="0" w:noVBand="1"/>
      </w:tblPr>
      <w:tblGrid>
        <w:gridCol w:w="1668"/>
        <w:gridCol w:w="7544"/>
      </w:tblGrid>
      <w:tr w:rsidR="007C4717" w:rsidTr="00F252DE">
        <w:trPr>
          <w:jc w:val="center"/>
        </w:trPr>
        <w:tc>
          <w:tcPr>
            <w:tcW w:w="1668" w:type="dxa"/>
            <w:shd w:val="clear" w:color="auto" w:fill="92D050"/>
          </w:tcPr>
          <w:p w:rsidR="007C4717" w:rsidRPr="007C4717" w:rsidRDefault="007C4717" w:rsidP="007C4717">
            <w:pPr>
              <w:jc w:val="center"/>
              <w:rPr>
                <w:b/>
              </w:rPr>
            </w:pPr>
            <w:r w:rsidRPr="007C4717">
              <w:rPr>
                <w:b/>
              </w:rPr>
              <w:t>1 - 3</w:t>
            </w:r>
          </w:p>
        </w:tc>
        <w:tc>
          <w:tcPr>
            <w:tcW w:w="7544" w:type="dxa"/>
            <w:shd w:val="clear" w:color="auto" w:fill="92D050"/>
          </w:tcPr>
          <w:p w:rsidR="007C4717" w:rsidRDefault="007C4717" w:rsidP="00AA5C9F">
            <w:pPr>
              <w:jc w:val="both"/>
            </w:pPr>
            <w:r>
              <w:t>Ryzyko akceptowalne</w:t>
            </w:r>
          </w:p>
        </w:tc>
      </w:tr>
      <w:tr w:rsidR="007C4717" w:rsidTr="00F252DE">
        <w:trPr>
          <w:jc w:val="center"/>
        </w:trPr>
        <w:tc>
          <w:tcPr>
            <w:tcW w:w="1668" w:type="dxa"/>
            <w:shd w:val="clear" w:color="auto" w:fill="FFFF00"/>
          </w:tcPr>
          <w:p w:rsidR="007C4717" w:rsidRPr="007C4717" w:rsidRDefault="007C4717" w:rsidP="007C4717">
            <w:pPr>
              <w:jc w:val="center"/>
              <w:rPr>
                <w:b/>
              </w:rPr>
            </w:pPr>
            <w:r w:rsidRPr="007C4717">
              <w:rPr>
                <w:b/>
              </w:rPr>
              <w:t>4 - 9</w:t>
            </w:r>
          </w:p>
        </w:tc>
        <w:tc>
          <w:tcPr>
            <w:tcW w:w="7544" w:type="dxa"/>
            <w:shd w:val="clear" w:color="auto" w:fill="FFFF00"/>
          </w:tcPr>
          <w:p w:rsidR="007C4717" w:rsidRDefault="007C4717" w:rsidP="00AA5C9F">
            <w:pPr>
              <w:jc w:val="both"/>
            </w:pPr>
            <w:r>
              <w:t>Dopuszczalna akceptacja ryzyka po jego ocenie</w:t>
            </w:r>
          </w:p>
        </w:tc>
      </w:tr>
      <w:tr w:rsidR="007C4717" w:rsidTr="00F252DE">
        <w:trPr>
          <w:jc w:val="center"/>
        </w:trPr>
        <w:tc>
          <w:tcPr>
            <w:tcW w:w="1668" w:type="dxa"/>
            <w:shd w:val="clear" w:color="auto" w:fill="FF0000"/>
          </w:tcPr>
          <w:p w:rsidR="007C4717" w:rsidRPr="007C4717" w:rsidRDefault="007C4717" w:rsidP="007C4717">
            <w:pPr>
              <w:jc w:val="center"/>
              <w:rPr>
                <w:b/>
              </w:rPr>
            </w:pPr>
            <w:r w:rsidRPr="007C4717">
              <w:rPr>
                <w:b/>
              </w:rPr>
              <w:t>10 - 25 (36)</w:t>
            </w:r>
          </w:p>
        </w:tc>
        <w:tc>
          <w:tcPr>
            <w:tcW w:w="7544" w:type="dxa"/>
            <w:shd w:val="clear" w:color="auto" w:fill="FF0000"/>
          </w:tcPr>
          <w:p w:rsidR="007C4717" w:rsidRDefault="007C4717" w:rsidP="00AA5C9F">
            <w:pPr>
              <w:jc w:val="both"/>
            </w:pPr>
            <w:r>
              <w:t>Ryzyko niedopuszczalne - wymagane zmniejszenie ryzyka</w:t>
            </w:r>
          </w:p>
        </w:tc>
      </w:tr>
    </w:tbl>
    <w:p w:rsidR="007C4717" w:rsidRDefault="007C4717" w:rsidP="00AA5C9F">
      <w:pPr>
        <w:jc w:val="both"/>
      </w:pPr>
    </w:p>
    <w:p w:rsidR="00F252DE" w:rsidRPr="00F252DE" w:rsidRDefault="00F252DE" w:rsidP="00AA5C9F">
      <w:pPr>
        <w:jc w:val="both"/>
        <w:rPr>
          <w:b/>
          <w:sz w:val="26"/>
          <w:szCs w:val="26"/>
        </w:rPr>
      </w:pPr>
      <w:r w:rsidRPr="00F252DE">
        <w:rPr>
          <w:b/>
          <w:sz w:val="26"/>
          <w:szCs w:val="26"/>
        </w:rPr>
        <w:t>Temat 3 i 4. Analiza zagrożeń PHA - ćwiczenia.</w:t>
      </w:r>
    </w:p>
    <w:p w:rsidR="00F252DE" w:rsidRDefault="00673933" w:rsidP="00AA5C9F">
      <w:pPr>
        <w:jc w:val="both"/>
      </w:pPr>
      <w:r>
        <w:t>Przykładowe zadania z oceny ryzyka zawodowego tą metodą, zaczerpnęłam z książki "Zagrożenia w środowisku pracy i ocena ryzyka zawodowego" WSiP, Wanda Bukała, Tadeusz Cieszkowski</w:t>
      </w:r>
    </w:p>
    <w:p w:rsidR="00673933" w:rsidRDefault="00673933" w:rsidP="00AA5C9F">
      <w:pPr>
        <w:jc w:val="both"/>
      </w:pPr>
      <w:r>
        <w:rPr>
          <w:noProof/>
          <w:lang w:eastAsia="pl-PL"/>
        </w:rPr>
        <w:drawing>
          <wp:inline distT="0" distB="0" distL="0" distR="0">
            <wp:extent cx="5743575" cy="2876550"/>
            <wp:effectExtent l="1905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743575" cy="2876550"/>
                    </a:xfrm>
                    <a:prstGeom prst="rect">
                      <a:avLst/>
                    </a:prstGeom>
                    <a:noFill/>
                    <a:ln w="9525">
                      <a:noFill/>
                      <a:miter lim="800000"/>
                      <a:headEnd/>
                      <a:tailEnd/>
                    </a:ln>
                  </pic:spPr>
                </pic:pic>
              </a:graphicData>
            </a:graphic>
          </wp:inline>
        </w:drawing>
      </w:r>
    </w:p>
    <w:p w:rsidR="00673933" w:rsidRDefault="00673933" w:rsidP="00AA5C9F">
      <w:pPr>
        <w:jc w:val="both"/>
      </w:pPr>
      <w:r>
        <w:rPr>
          <w:noProof/>
          <w:lang w:eastAsia="pl-PL"/>
        </w:rPr>
        <w:lastRenderedPageBreak/>
        <w:drawing>
          <wp:inline distT="0" distB="0" distL="0" distR="0">
            <wp:extent cx="5762625" cy="3000375"/>
            <wp:effectExtent l="1905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762625" cy="3000375"/>
                    </a:xfrm>
                    <a:prstGeom prst="rect">
                      <a:avLst/>
                    </a:prstGeom>
                    <a:noFill/>
                    <a:ln w="9525">
                      <a:noFill/>
                      <a:miter lim="800000"/>
                      <a:headEnd/>
                      <a:tailEnd/>
                    </a:ln>
                  </pic:spPr>
                </pic:pic>
              </a:graphicData>
            </a:graphic>
          </wp:inline>
        </w:drawing>
      </w:r>
    </w:p>
    <w:p w:rsidR="00673933" w:rsidRDefault="00673933" w:rsidP="00AA5C9F">
      <w:pPr>
        <w:jc w:val="both"/>
      </w:pPr>
    </w:p>
    <w:p w:rsidR="00673933" w:rsidRDefault="00673933" w:rsidP="00A16439">
      <w:pPr>
        <w:jc w:val="both"/>
      </w:pPr>
      <w:r>
        <w:t xml:space="preserve">W ramach samodzielnej pracy zaliczeniowej proszę rozwiązać </w:t>
      </w:r>
      <w:r w:rsidR="00A16439">
        <w:t>poniższe zadania</w:t>
      </w:r>
      <w:r>
        <w:t xml:space="preserve"> lub przygotować pracę pisemną na temat - Obowiązki pracodawcy w zakresie dokumentowania ryzyka zawodowego.</w:t>
      </w:r>
    </w:p>
    <w:p w:rsidR="00673933" w:rsidRDefault="00673933" w:rsidP="00AA5C9F">
      <w:pPr>
        <w:jc w:val="both"/>
      </w:pPr>
      <w:r>
        <w:rPr>
          <w:noProof/>
          <w:lang w:eastAsia="pl-PL"/>
        </w:rPr>
        <w:drawing>
          <wp:inline distT="0" distB="0" distL="0" distR="0">
            <wp:extent cx="5762625" cy="1914525"/>
            <wp:effectExtent l="1905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762625" cy="1914525"/>
                    </a:xfrm>
                    <a:prstGeom prst="rect">
                      <a:avLst/>
                    </a:prstGeom>
                    <a:noFill/>
                    <a:ln w="9525">
                      <a:noFill/>
                      <a:miter lim="800000"/>
                      <a:headEnd/>
                      <a:tailEnd/>
                    </a:ln>
                  </pic:spPr>
                </pic:pic>
              </a:graphicData>
            </a:graphic>
          </wp:inline>
        </w:drawing>
      </w:r>
    </w:p>
    <w:p w:rsidR="00F252DE" w:rsidRDefault="00F252DE" w:rsidP="00AA5C9F">
      <w:pPr>
        <w:jc w:val="both"/>
      </w:pPr>
    </w:p>
    <w:sectPr w:rsidR="00F252DE" w:rsidSect="00BF3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C9F"/>
    <w:rsid w:val="00454218"/>
    <w:rsid w:val="005825A1"/>
    <w:rsid w:val="00673933"/>
    <w:rsid w:val="007C4717"/>
    <w:rsid w:val="008A32E3"/>
    <w:rsid w:val="00A16439"/>
    <w:rsid w:val="00AA5C9F"/>
    <w:rsid w:val="00BF38B9"/>
    <w:rsid w:val="00F252DE"/>
    <w:rsid w:val="00F36690"/>
    <w:rsid w:val="00F558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391A8E-636B-4C4D-ACC8-56890312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38B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366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690"/>
    <w:rPr>
      <w:rFonts w:ascii="Tahoma" w:hAnsi="Tahoma" w:cs="Tahoma"/>
      <w:sz w:val="16"/>
      <w:szCs w:val="16"/>
    </w:rPr>
  </w:style>
  <w:style w:type="table" w:styleId="Tabela-Siatka">
    <w:name w:val="Table Grid"/>
    <w:basedOn w:val="Standardowy"/>
    <w:uiPriority w:val="59"/>
    <w:rsid w:val="007C47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787</Words>
  <Characters>4726</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c:creator>
  <cp:keywords/>
  <dc:description/>
  <cp:lastModifiedBy>Uczeń</cp:lastModifiedBy>
  <cp:revision>2</cp:revision>
  <dcterms:created xsi:type="dcterms:W3CDTF">2020-10-29T13:10:00Z</dcterms:created>
  <dcterms:modified xsi:type="dcterms:W3CDTF">2020-10-29T13:10:00Z</dcterms:modified>
</cp:coreProperties>
</file>