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553" w:rsidRDefault="00640553">
      <w:pPr>
        <w:rPr>
          <w:rFonts w:ascii="Arial" w:hAnsi="Arial" w:cs="Arial"/>
          <w:b/>
          <w:sz w:val="24"/>
          <w:szCs w:val="24"/>
          <w:u w:val="single"/>
        </w:rPr>
      </w:pPr>
      <w:r>
        <w:rPr>
          <w:rFonts w:ascii="Arial" w:hAnsi="Arial" w:cs="Arial"/>
          <w:b/>
          <w:sz w:val="24"/>
          <w:szCs w:val="24"/>
          <w:u w:val="single"/>
        </w:rPr>
        <w:t>27-29.11.2020</w:t>
      </w:r>
      <w:bookmarkStart w:id="0" w:name="_GoBack"/>
      <w:bookmarkEnd w:id="0"/>
    </w:p>
    <w:p w:rsidR="002575C2" w:rsidRPr="000E1E37" w:rsidRDefault="000E1E37">
      <w:pPr>
        <w:rPr>
          <w:rFonts w:ascii="Arial" w:hAnsi="Arial" w:cs="Arial"/>
          <w:b/>
          <w:sz w:val="24"/>
          <w:szCs w:val="24"/>
          <w:u w:val="single"/>
        </w:rPr>
      </w:pPr>
      <w:r w:rsidRPr="000E1E37">
        <w:rPr>
          <w:rFonts w:ascii="Arial" w:hAnsi="Arial" w:cs="Arial"/>
          <w:b/>
          <w:sz w:val="24"/>
          <w:szCs w:val="24"/>
          <w:u w:val="single"/>
        </w:rPr>
        <w:t>FORMY OPODATKOWANIA PODATKIEM DOCHODOWYM OD OSÓB FIZYCZNYCH</w:t>
      </w:r>
    </w:p>
    <w:p w:rsidR="000E1E37" w:rsidRDefault="000E1E37"/>
    <w:p w:rsidR="000E1E37" w:rsidRPr="000E1E37" w:rsidRDefault="000E1E37" w:rsidP="000E1E37">
      <w:pPr>
        <w:jc w:val="both"/>
        <w:rPr>
          <w:rFonts w:ascii="Arial" w:hAnsi="Arial" w:cs="Arial"/>
          <w:sz w:val="24"/>
          <w:szCs w:val="24"/>
        </w:rPr>
      </w:pPr>
      <w:r w:rsidRPr="000E1E37">
        <w:rPr>
          <w:rFonts w:ascii="Arial" w:hAnsi="Arial" w:cs="Arial"/>
          <w:sz w:val="24"/>
          <w:szCs w:val="24"/>
        </w:rPr>
        <w:t>Osoby fizyczne, które decydują się na założenie własnej firmy muszą przede wszystkim dokonać wyboru formy opodatkowania. Jest to decyzja kluczowa z punktu widzenia późniejszych rozliczeń podatkowych. Przedsiębiorcy mogą wybierać spośród czterech dostępnych form opodatkowania: podatek według skali podatkowej, podatek liniowy, ryczałt od przychodów ewidencjonowanych lub karta podatkowa. Czym charakteryzuje się dana forma opodatkowania? Przeczytaj i sprawdź!</w:t>
      </w:r>
    </w:p>
    <w:p w:rsidR="000E1E37" w:rsidRPr="000E1E37" w:rsidRDefault="000E1E37" w:rsidP="000E1E37">
      <w:pPr>
        <w:jc w:val="both"/>
        <w:rPr>
          <w:rFonts w:ascii="Arial" w:hAnsi="Arial" w:cs="Arial"/>
          <w:sz w:val="24"/>
          <w:szCs w:val="24"/>
        </w:rPr>
      </w:pPr>
      <w:r w:rsidRPr="000E1E37">
        <w:rPr>
          <w:rFonts w:ascii="Arial" w:hAnsi="Arial" w:cs="Arial"/>
          <w:sz w:val="24"/>
          <w:szCs w:val="24"/>
        </w:rPr>
        <w:t xml:space="preserve">Podatek według skali podatkowej </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Skala podatkowa jest metodą opodatkowania PIT, na podstawie której stosowana jest tzw. progresja podatkowa. Polega na tym, że stawka podatku wzrasta wraz z przekroczeniem ustalonego ustawowo progu a zaliczki w trakcie roku mogą być wpłacane za okresy miesięczne lub kwartalne.</w:t>
      </w:r>
    </w:p>
    <w:p w:rsidR="000E1E37" w:rsidRPr="000E1E37" w:rsidRDefault="000E1E37" w:rsidP="000E1E37">
      <w:pPr>
        <w:jc w:val="both"/>
        <w:rPr>
          <w:rFonts w:ascii="Arial" w:hAnsi="Arial" w:cs="Arial"/>
          <w:sz w:val="24"/>
          <w:szCs w:val="24"/>
        </w:rPr>
      </w:pPr>
      <w:r w:rsidRPr="000E1E37">
        <w:rPr>
          <w:rFonts w:ascii="Arial" w:hAnsi="Arial" w:cs="Arial"/>
          <w:sz w:val="24"/>
          <w:szCs w:val="24"/>
        </w:rPr>
        <w:t>Wraz z nowelizacją ustawy o PIT, w 2019 roku obowiązywały dwie stawki podatku w I progu podatkowym:</w:t>
      </w:r>
    </w:p>
    <w:p w:rsidR="000E1E37" w:rsidRDefault="000E1E37" w:rsidP="000E1E37">
      <w:pPr>
        <w:pStyle w:val="Akapitzlist"/>
        <w:numPr>
          <w:ilvl w:val="0"/>
          <w:numId w:val="1"/>
        </w:numPr>
        <w:jc w:val="both"/>
        <w:rPr>
          <w:rFonts w:ascii="Arial" w:hAnsi="Arial" w:cs="Arial"/>
          <w:sz w:val="24"/>
          <w:szCs w:val="24"/>
        </w:rPr>
      </w:pPr>
      <w:r w:rsidRPr="000E1E37">
        <w:rPr>
          <w:rFonts w:ascii="Arial" w:hAnsi="Arial" w:cs="Arial"/>
          <w:sz w:val="24"/>
          <w:szCs w:val="24"/>
        </w:rPr>
        <w:t>w zaliczkach obliczanych od stycznia do września - 18%,</w:t>
      </w:r>
    </w:p>
    <w:p w:rsidR="000E1E37" w:rsidRPr="000E1E37" w:rsidRDefault="000E1E37" w:rsidP="000E1E37">
      <w:pPr>
        <w:pStyle w:val="Akapitzlist"/>
        <w:numPr>
          <w:ilvl w:val="0"/>
          <w:numId w:val="1"/>
        </w:numPr>
        <w:jc w:val="both"/>
        <w:rPr>
          <w:rFonts w:ascii="Arial" w:hAnsi="Arial" w:cs="Arial"/>
          <w:sz w:val="24"/>
          <w:szCs w:val="24"/>
        </w:rPr>
      </w:pPr>
      <w:r w:rsidRPr="000E1E37">
        <w:rPr>
          <w:rFonts w:ascii="Arial" w:hAnsi="Arial" w:cs="Arial"/>
          <w:sz w:val="24"/>
          <w:szCs w:val="24"/>
        </w:rPr>
        <w:t>w zaliczkach obliczanych od października do grudnia - 17%</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Efektem tych zmian są obowiązujące przepisy przejściowe zgodnie z którymi dochody uzyskane w 2019 roku które nie przekroczyły I progu podatkowego rozliczane są stawką 17,75%.</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Skala podatkowa obowiązująca w 2020 roku wynosi:</w:t>
      </w:r>
    </w:p>
    <w:p w:rsidR="000E1E37" w:rsidRDefault="000E1E37" w:rsidP="000E1E37"/>
    <w:tbl>
      <w:tblPr>
        <w:tblStyle w:val="Tabela-Siatka"/>
        <w:tblW w:w="0" w:type="auto"/>
        <w:tblLook w:val="04A0" w:firstRow="1" w:lastRow="0" w:firstColumn="1" w:lastColumn="0" w:noHBand="0" w:noVBand="1"/>
      </w:tblPr>
      <w:tblGrid>
        <w:gridCol w:w="2265"/>
        <w:gridCol w:w="2265"/>
        <w:gridCol w:w="2266"/>
        <w:gridCol w:w="2266"/>
      </w:tblGrid>
      <w:tr w:rsidR="000E1E37" w:rsidRPr="000E1E37" w:rsidTr="00151B44">
        <w:tc>
          <w:tcPr>
            <w:tcW w:w="4530" w:type="dxa"/>
            <w:gridSpan w:val="2"/>
          </w:tcPr>
          <w:p w:rsidR="000E1E37" w:rsidRPr="000E1E37" w:rsidRDefault="000E1E37" w:rsidP="000E1E37">
            <w:pPr>
              <w:jc w:val="center"/>
              <w:rPr>
                <w:rFonts w:ascii="Arial" w:hAnsi="Arial" w:cs="Arial"/>
                <w:b/>
                <w:sz w:val="24"/>
                <w:szCs w:val="24"/>
              </w:rPr>
            </w:pPr>
          </w:p>
          <w:p w:rsidR="000E1E37" w:rsidRPr="000E1E37" w:rsidRDefault="000E1E37" w:rsidP="000E1E37">
            <w:pPr>
              <w:jc w:val="center"/>
              <w:rPr>
                <w:rFonts w:ascii="Arial" w:hAnsi="Arial" w:cs="Arial"/>
                <w:b/>
                <w:sz w:val="24"/>
                <w:szCs w:val="24"/>
              </w:rPr>
            </w:pPr>
            <w:r w:rsidRPr="000E1E37">
              <w:rPr>
                <w:rFonts w:ascii="Arial" w:hAnsi="Arial" w:cs="Arial"/>
                <w:b/>
                <w:sz w:val="24"/>
                <w:szCs w:val="24"/>
              </w:rPr>
              <w:t>Podstawa obliczenia</w:t>
            </w:r>
          </w:p>
          <w:p w:rsidR="000E1E37" w:rsidRPr="000E1E37" w:rsidRDefault="000E1E37" w:rsidP="000E1E37">
            <w:pPr>
              <w:jc w:val="center"/>
              <w:rPr>
                <w:rFonts w:ascii="Arial" w:hAnsi="Arial" w:cs="Arial"/>
                <w:b/>
                <w:sz w:val="24"/>
                <w:szCs w:val="24"/>
              </w:rPr>
            </w:pPr>
            <w:r w:rsidRPr="000E1E37">
              <w:rPr>
                <w:rFonts w:ascii="Arial" w:hAnsi="Arial" w:cs="Arial"/>
                <w:b/>
                <w:sz w:val="24"/>
                <w:szCs w:val="24"/>
              </w:rPr>
              <w:t>podatku w złotych</w:t>
            </w:r>
          </w:p>
          <w:p w:rsidR="000E1E37" w:rsidRPr="000E1E37" w:rsidRDefault="000E1E37" w:rsidP="000E1E37">
            <w:pPr>
              <w:rPr>
                <w:rFonts w:ascii="Arial" w:hAnsi="Arial" w:cs="Arial"/>
                <w:sz w:val="24"/>
                <w:szCs w:val="24"/>
              </w:rPr>
            </w:pPr>
          </w:p>
        </w:tc>
        <w:tc>
          <w:tcPr>
            <w:tcW w:w="4532" w:type="dxa"/>
            <w:gridSpan w:val="2"/>
            <w:vMerge w:val="restart"/>
          </w:tcPr>
          <w:p w:rsidR="000E1E37" w:rsidRPr="000E1E37" w:rsidRDefault="000E1E37" w:rsidP="000E1E37">
            <w:pPr>
              <w:rPr>
                <w:rFonts w:ascii="Arial" w:hAnsi="Arial" w:cs="Arial"/>
                <w:sz w:val="24"/>
                <w:szCs w:val="24"/>
              </w:rPr>
            </w:pPr>
          </w:p>
          <w:p w:rsidR="000E1E37" w:rsidRPr="000E1E37" w:rsidRDefault="000E1E37" w:rsidP="000E1E37">
            <w:pPr>
              <w:jc w:val="center"/>
              <w:rPr>
                <w:rFonts w:ascii="Arial" w:hAnsi="Arial" w:cs="Arial"/>
                <w:b/>
                <w:sz w:val="24"/>
                <w:szCs w:val="24"/>
              </w:rPr>
            </w:pPr>
            <w:r w:rsidRPr="000E1E37">
              <w:rPr>
                <w:rFonts w:ascii="Arial" w:hAnsi="Arial" w:cs="Arial"/>
                <w:b/>
                <w:sz w:val="24"/>
                <w:szCs w:val="24"/>
              </w:rPr>
              <w:t>Podatek wynosi</w:t>
            </w: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tc>
      </w:tr>
      <w:tr w:rsidR="000E1E37" w:rsidRPr="000E1E37" w:rsidTr="001B1437">
        <w:tc>
          <w:tcPr>
            <w:tcW w:w="2265" w:type="dxa"/>
          </w:tcPr>
          <w:p w:rsidR="000E1E37" w:rsidRPr="000E1E37" w:rsidRDefault="000E1E37" w:rsidP="000E1E37">
            <w:pPr>
              <w:rPr>
                <w:rFonts w:ascii="Arial" w:hAnsi="Arial" w:cs="Arial"/>
                <w:sz w:val="24"/>
                <w:szCs w:val="24"/>
              </w:rPr>
            </w:pPr>
            <w:r w:rsidRPr="000E1E37">
              <w:rPr>
                <w:rFonts w:ascii="Arial" w:hAnsi="Arial" w:cs="Arial"/>
                <w:sz w:val="24"/>
                <w:szCs w:val="24"/>
              </w:rPr>
              <w:t xml:space="preserve">ponad </w:t>
            </w:r>
          </w:p>
        </w:tc>
        <w:tc>
          <w:tcPr>
            <w:tcW w:w="2265" w:type="dxa"/>
          </w:tcPr>
          <w:p w:rsidR="000E1E37" w:rsidRPr="000E1E37" w:rsidRDefault="000E1E37" w:rsidP="000E1E37">
            <w:pPr>
              <w:rPr>
                <w:rFonts w:ascii="Arial" w:hAnsi="Arial" w:cs="Arial"/>
                <w:sz w:val="24"/>
                <w:szCs w:val="24"/>
              </w:rPr>
            </w:pPr>
            <w:r w:rsidRPr="000E1E37">
              <w:rPr>
                <w:rFonts w:ascii="Arial" w:hAnsi="Arial" w:cs="Arial"/>
                <w:sz w:val="24"/>
                <w:szCs w:val="24"/>
              </w:rPr>
              <w:t>do</w:t>
            </w:r>
          </w:p>
        </w:tc>
        <w:tc>
          <w:tcPr>
            <w:tcW w:w="4532" w:type="dxa"/>
            <w:gridSpan w:val="2"/>
            <w:vMerge/>
          </w:tcPr>
          <w:p w:rsidR="000E1E37" w:rsidRPr="000E1E37" w:rsidRDefault="000E1E37" w:rsidP="000E1E37">
            <w:pPr>
              <w:rPr>
                <w:rFonts w:ascii="Arial" w:hAnsi="Arial" w:cs="Arial"/>
                <w:sz w:val="24"/>
                <w:szCs w:val="24"/>
              </w:rPr>
            </w:pPr>
          </w:p>
        </w:tc>
      </w:tr>
      <w:tr w:rsidR="000E1E37" w:rsidRPr="000E1E37" w:rsidTr="000E1E37">
        <w:tc>
          <w:tcPr>
            <w:tcW w:w="2265" w:type="dxa"/>
          </w:tcPr>
          <w:p w:rsidR="000E1E37" w:rsidRPr="000E1E37" w:rsidRDefault="000E1E37" w:rsidP="000E1E37">
            <w:pPr>
              <w:rPr>
                <w:rFonts w:ascii="Arial" w:hAnsi="Arial" w:cs="Arial"/>
                <w:sz w:val="24"/>
                <w:szCs w:val="24"/>
              </w:rPr>
            </w:pPr>
          </w:p>
        </w:tc>
        <w:tc>
          <w:tcPr>
            <w:tcW w:w="2265" w:type="dxa"/>
          </w:tcPr>
          <w:p w:rsidR="000E1E37" w:rsidRPr="000E1E37" w:rsidRDefault="000E1E37" w:rsidP="000E1E37">
            <w:pPr>
              <w:rPr>
                <w:rFonts w:ascii="Arial" w:hAnsi="Arial" w:cs="Arial"/>
                <w:sz w:val="24"/>
                <w:szCs w:val="24"/>
              </w:rPr>
            </w:pPr>
            <w:r w:rsidRPr="000E1E37">
              <w:rPr>
                <w:rFonts w:ascii="Arial" w:hAnsi="Arial" w:cs="Arial"/>
                <w:sz w:val="24"/>
                <w:szCs w:val="24"/>
              </w:rPr>
              <w:tab/>
              <w:t>85.528</w:t>
            </w: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tc>
        <w:tc>
          <w:tcPr>
            <w:tcW w:w="2266" w:type="dxa"/>
          </w:tcPr>
          <w:p w:rsidR="000E1E37" w:rsidRPr="000E1E37" w:rsidRDefault="000E1E37" w:rsidP="000E1E37">
            <w:pPr>
              <w:rPr>
                <w:rFonts w:ascii="Arial" w:hAnsi="Arial" w:cs="Arial"/>
                <w:sz w:val="24"/>
                <w:szCs w:val="24"/>
              </w:rPr>
            </w:pPr>
            <w:r w:rsidRPr="000E1E37">
              <w:rPr>
                <w:rFonts w:ascii="Arial" w:hAnsi="Arial" w:cs="Arial"/>
                <w:sz w:val="24"/>
                <w:szCs w:val="24"/>
              </w:rPr>
              <w:t>17%</w:t>
            </w:r>
          </w:p>
          <w:p w:rsidR="000E1E37" w:rsidRPr="000E1E37" w:rsidRDefault="000E1E37" w:rsidP="000E1E37">
            <w:pPr>
              <w:rPr>
                <w:rFonts w:ascii="Arial" w:hAnsi="Arial" w:cs="Arial"/>
                <w:sz w:val="24"/>
                <w:szCs w:val="24"/>
              </w:rPr>
            </w:pPr>
          </w:p>
        </w:tc>
        <w:tc>
          <w:tcPr>
            <w:tcW w:w="2266" w:type="dxa"/>
            <w:vMerge w:val="restart"/>
          </w:tcPr>
          <w:p w:rsidR="000E1E37" w:rsidRPr="000E1E37" w:rsidRDefault="000E1E37" w:rsidP="000E1E37">
            <w:pPr>
              <w:rPr>
                <w:rFonts w:ascii="Arial" w:hAnsi="Arial" w:cs="Arial"/>
                <w:sz w:val="24"/>
                <w:szCs w:val="24"/>
              </w:rPr>
            </w:pPr>
            <w:r w:rsidRPr="000E1E37">
              <w:rPr>
                <w:rFonts w:ascii="Arial" w:hAnsi="Arial" w:cs="Arial"/>
                <w:sz w:val="24"/>
                <w:szCs w:val="24"/>
              </w:rPr>
              <w:t>minus kwota zmniejszająca podatek</w:t>
            </w: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tc>
      </w:tr>
      <w:tr w:rsidR="000E1E37" w:rsidRPr="000E1E37" w:rsidTr="000E1E37">
        <w:tc>
          <w:tcPr>
            <w:tcW w:w="2265" w:type="dxa"/>
          </w:tcPr>
          <w:p w:rsidR="000E1E37" w:rsidRPr="000E1E37" w:rsidRDefault="000E1E37" w:rsidP="000E1E37">
            <w:pPr>
              <w:rPr>
                <w:rFonts w:ascii="Arial" w:hAnsi="Arial" w:cs="Arial"/>
                <w:sz w:val="24"/>
                <w:szCs w:val="24"/>
              </w:rPr>
            </w:pPr>
            <w:r w:rsidRPr="000E1E37">
              <w:rPr>
                <w:rFonts w:ascii="Arial" w:hAnsi="Arial" w:cs="Arial"/>
                <w:sz w:val="24"/>
                <w:szCs w:val="24"/>
              </w:rPr>
              <w:t>85.528</w:t>
            </w: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tc>
        <w:tc>
          <w:tcPr>
            <w:tcW w:w="2265" w:type="dxa"/>
          </w:tcPr>
          <w:p w:rsidR="000E1E37" w:rsidRPr="000E1E37" w:rsidRDefault="000E1E37" w:rsidP="000E1E37">
            <w:pPr>
              <w:rPr>
                <w:rFonts w:ascii="Arial" w:hAnsi="Arial" w:cs="Arial"/>
                <w:sz w:val="24"/>
                <w:szCs w:val="24"/>
              </w:rPr>
            </w:pPr>
          </w:p>
        </w:tc>
        <w:tc>
          <w:tcPr>
            <w:tcW w:w="2266" w:type="dxa"/>
          </w:tcPr>
          <w:p w:rsidR="000E1E37" w:rsidRPr="000E1E37" w:rsidRDefault="000E1E37" w:rsidP="000E1E37">
            <w:pPr>
              <w:rPr>
                <w:rFonts w:ascii="Arial" w:hAnsi="Arial" w:cs="Arial"/>
                <w:sz w:val="24"/>
                <w:szCs w:val="24"/>
              </w:rPr>
            </w:pPr>
            <w:r w:rsidRPr="000E1E37">
              <w:rPr>
                <w:rFonts w:ascii="Arial" w:hAnsi="Arial" w:cs="Arial"/>
                <w:sz w:val="24"/>
                <w:szCs w:val="24"/>
              </w:rPr>
              <w:t>14.539 zł 76 gr + 32% nadwyżki ponad 85.528 zł</w:t>
            </w:r>
          </w:p>
          <w:p w:rsidR="000E1E37" w:rsidRPr="000E1E37" w:rsidRDefault="000E1E37" w:rsidP="000E1E37">
            <w:pPr>
              <w:rPr>
                <w:rFonts w:ascii="Arial" w:hAnsi="Arial" w:cs="Arial"/>
                <w:sz w:val="24"/>
                <w:szCs w:val="24"/>
              </w:rPr>
            </w:pPr>
          </w:p>
          <w:p w:rsidR="000E1E37" w:rsidRPr="000E1E37" w:rsidRDefault="000E1E37" w:rsidP="000E1E37">
            <w:pPr>
              <w:rPr>
                <w:rFonts w:ascii="Arial" w:hAnsi="Arial" w:cs="Arial"/>
                <w:sz w:val="24"/>
                <w:szCs w:val="24"/>
              </w:rPr>
            </w:pPr>
          </w:p>
        </w:tc>
        <w:tc>
          <w:tcPr>
            <w:tcW w:w="2266" w:type="dxa"/>
            <w:vMerge/>
          </w:tcPr>
          <w:p w:rsidR="000E1E37" w:rsidRPr="000E1E37" w:rsidRDefault="000E1E37" w:rsidP="000E1E37">
            <w:pPr>
              <w:rPr>
                <w:rFonts w:ascii="Arial" w:hAnsi="Arial" w:cs="Arial"/>
                <w:sz w:val="24"/>
                <w:szCs w:val="24"/>
              </w:rPr>
            </w:pPr>
          </w:p>
        </w:tc>
      </w:tr>
    </w:tbl>
    <w:p w:rsidR="000E1E37" w:rsidRDefault="000E1E37" w:rsidP="000E1E37"/>
    <w:p w:rsidR="000E1E37" w:rsidRPr="000E1E37" w:rsidRDefault="000E1E37" w:rsidP="000E1E37">
      <w:pPr>
        <w:jc w:val="both"/>
        <w:rPr>
          <w:rFonts w:ascii="Arial" w:hAnsi="Arial" w:cs="Arial"/>
          <w:sz w:val="24"/>
          <w:szCs w:val="24"/>
        </w:rPr>
      </w:pPr>
      <w:r w:rsidRPr="000E1E37">
        <w:rPr>
          <w:rFonts w:ascii="Arial" w:hAnsi="Arial" w:cs="Arial"/>
          <w:sz w:val="24"/>
          <w:szCs w:val="24"/>
        </w:rPr>
        <w:t>Podstawową zaletą tej metody rozliczania PIT jest przede wszystkim fakt, że podatnik może obniżyć przychody o koszty poniesione w celu ich uzyskania, a także o straty z lat ubiegłych poniesione z działalności gospodarczej czy opłacone składki ZUS. Dodatkowo przysługują z tego tytułu ulgi podatkowe (w tym wspólne rozliczanie się z małżonkiem). Natomiast należy pamiętać, że w tej sytuacji przychody osiągnięte z pozarolniczej działalności gospodarczej łączy się z przychodami osiągniętymi z innych źródeł opodatkowanych podatkiem progresywnym (skala podatkowa). Tym samym może to spowodować zwiększenie stawki podatku z 17% na 32%, gdy suma dochodów przekroczy próg 85.528 zł.</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Wraz z obniżeniem stawki podatkowej w I progu podatkowym zmianie uległa również kwota zmniejszająca podatek.</w:t>
      </w:r>
    </w:p>
    <w:p w:rsidR="000E1E37" w:rsidRDefault="000E1E37" w:rsidP="000E1E37"/>
    <w:tbl>
      <w:tblPr>
        <w:tblStyle w:val="Tabela-Siatka"/>
        <w:tblW w:w="0" w:type="auto"/>
        <w:tblLook w:val="04A0" w:firstRow="1" w:lastRow="0" w:firstColumn="1" w:lastColumn="0" w:noHBand="0" w:noVBand="1"/>
      </w:tblPr>
      <w:tblGrid>
        <w:gridCol w:w="4531"/>
        <w:gridCol w:w="4531"/>
      </w:tblGrid>
      <w:tr w:rsidR="000E1E37" w:rsidRPr="000E1E37" w:rsidTr="000E1E37">
        <w:tc>
          <w:tcPr>
            <w:tcW w:w="4531" w:type="dxa"/>
          </w:tcPr>
          <w:p w:rsidR="000E1E37" w:rsidRPr="000E1E37" w:rsidRDefault="000E1E37" w:rsidP="000E1E37">
            <w:pPr>
              <w:jc w:val="center"/>
              <w:rPr>
                <w:rFonts w:ascii="Arial" w:hAnsi="Arial" w:cs="Arial"/>
                <w:b/>
                <w:sz w:val="24"/>
                <w:szCs w:val="24"/>
              </w:rPr>
            </w:pPr>
            <w:r w:rsidRPr="000E1E37">
              <w:rPr>
                <w:rFonts w:ascii="Arial" w:hAnsi="Arial" w:cs="Arial"/>
                <w:b/>
                <w:sz w:val="24"/>
                <w:szCs w:val="24"/>
              </w:rPr>
              <w:t>Podstawa     opodatkowania</w:t>
            </w:r>
          </w:p>
        </w:tc>
        <w:tc>
          <w:tcPr>
            <w:tcW w:w="4531" w:type="dxa"/>
          </w:tcPr>
          <w:p w:rsidR="000E1E37" w:rsidRPr="000E1E37" w:rsidRDefault="000E1E37" w:rsidP="000E1E37">
            <w:pPr>
              <w:jc w:val="center"/>
              <w:rPr>
                <w:rFonts w:ascii="Arial" w:hAnsi="Arial" w:cs="Arial"/>
                <w:b/>
                <w:sz w:val="24"/>
                <w:szCs w:val="24"/>
              </w:rPr>
            </w:pPr>
            <w:r w:rsidRPr="000E1E37">
              <w:rPr>
                <w:rFonts w:ascii="Arial" w:hAnsi="Arial" w:cs="Arial"/>
                <w:b/>
                <w:sz w:val="24"/>
                <w:szCs w:val="24"/>
              </w:rPr>
              <w:t>Kwota zmniejszająca podatek w 2020 roku</w:t>
            </w:r>
          </w:p>
        </w:tc>
      </w:tr>
      <w:tr w:rsidR="000E1E37" w:rsidRPr="000E1E37" w:rsidTr="000E1E37">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 xml:space="preserve">do 8.000 zł </w:t>
            </w:r>
          </w:p>
        </w:tc>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1.360 zł</w:t>
            </w:r>
          </w:p>
        </w:tc>
      </w:tr>
      <w:tr w:rsidR="000E1E37" w:rsidRPr="000E1E37" w:rsidTr="000E1E37">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 xml:space="preserve">od 8.001 zł do 13.000 zł </w:t>
            </w:r>
          </w:p>
        </w:tc>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1.360 zł pomniejszone o kwotę obliczoną według wzoru: 834 zł 88 gr x (podstawa obliczenia podatku – 8.000 zł) ÷ 5.000 zł</w:t>
            </w:r>
          </w:p>
        </w:tc>
      </w:tr>
      <w:tr w:rsidR="000E1E37" w:rsidRPr="000E1E37" w:rsidTr="000E1E37">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 xml:space="preserve">od 13.001 zł do 85.528 zł </w:t>
            </w:r>
          </w:p>
        </w:tc>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525,12 zł</w:t>
            </w:r>
          </w:p>
        </w:tc>
      </w:tr>
      <w:tr w:rsidR="000E1E37" w:rsidRPr="000E1E37" w:rsidTr="000E1E37">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 xml:space="preserve">od 85.529 zł do 127.000 zł </w:t>
            </w:r>
          </w:p>
        </w:tc>
        <w:tc>
          <w:tcPr>
            <w:tcW w:w="4531" w:type="dxa"/>
          </w:tcPr>
          <w:p w:rsidR="000E1E37" w:rsidRPr="000E1E37" w:rsidRDefault="000E1E37" w:rsidP="000E1E37">
            <w:pPr>
              <w:rPr>
                <w:rFonts w:ascii="Arial" w:hAnsi="Arial" w:cs="Arial"/>
                <w:sz w:val="24"/>
                <w:szCs w:val="24"/>
              </w:rPr>
            </w:pPr>
            <w:r w:rsidRPr="000E1E37">
              <w:rPr>
                <w:rFonts w:ascii="Arial" w:hAnsi="Arial" w:cs="Arial"/>
                <w:sz w:val="24"/>
                <w:szCs w:val="24"/>
              </w:rPr>
              <w:t>525,12 zł pomniejszone o kwotę obliczoną według wzoru: 525 zł 12 gr × (podstawa obliczenia podatku – 85.528 zł) ÷ 41.472 zł</w:t>
            </w:r>
          </w:p>
        </w:tc>
      </w:tr>
    </w:tbl>
    <w:p w:rsidR="000E1E37" w:rsidRDefault="000E1E37" w:rsidP="000E1E37"/>
    <w:p w:rsidR="000E1E37" w:rsidRPr="000E1E37" w:rsidRDefault="000E1E37" w:rsidP="000E1E37">
      <w:pPr>
        <w:rPr>
          <w:rFonts w:ascii="Arial" w:hAnsi="Arial" w:cs="Arial"/>
          <w:sz w:val="24"/>
          <w:szCs w:val="24"/>
        </w:rPr>
      </w:pPr>
      <w:r w:rsidRPr="000E1E37">
        <w:rPr>
          <w:rFonts w:ascii="Arial" w:hAnsi="Arial" w:cs="Arial"/>
          <w:sz w:val="24"/>
          <w:szCs w:val="24"/>
        </w:rPr>
        <w:t>Wybierając skalę podatkową jako formę opodatkowania dochodów, oprócz przywileju rozliczania z małżonkiem przedsiębiorca może również skorzystać z szeregu ulg podatkowych które pomniejszają dochód lub podatek w zeznaniu rocznym takich jak m.in.:</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ulga prorodzinna,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ulga termomodernizacyjna,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wpłaty na IKZE,</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ulga badawczo-rozwojowa,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ulga rehabilitacyjna,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ulga internetowa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darowizny na cele pożytku publicznego,</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darowizny na cele krwiodawstwa,</w:t>
      </w:r>
    </w:p>
    <w:p w:rsidR="000E1E37" w:rsidRDefault="000E1E37" w:rsidP="000E1E37">
      <w:pPr>
        <w:pStyle w:val="Akapitzlist"/>
        <w:numPr>
          <w:ilvl w:val="0"/>
          <w:numId w:val="2"/>
        </w:numPr>
        <w:rPr>
          <w:rFonts w:ascii="Arial" w:hAnsi="Arial" w:cs="Arial"/>
          <w:sz w:val="24"/>
          <w:szCs w:val="24"/>
        </w:rPr>
      </w:pPr>
      <w:r w:rsidRPr="000E1E37">
        <w:rPr>
          <w:rFonts w:ascii="Arial" w:hAnsi="Arial" w:cs="Arial"/>
          <w:sz w:val="24"/>
          <w:szCs w:val="24"/>
        </w:rPr>
        <w:t>darowizny kościelne,</w:t>
      </w:r>
    </w:p>
    <w:p w:rsidR="000E1E37" w:rsidRPr="000E1E37" w:rsidRDefault="000E1E37" w:rsidP="000E1E37">
      <w:pPr>
        <w:pStyle w:val="Akapitzlist"/>
        <w:numPr>
          <w:ilvl w:val="0"/>
          <w:numId w:val="2"/>
        </w:numPr>
        <w:jc w:val="both"/>
        <w:rPr>
          <w:rFonts w:ascii="Arial" w:hAnsi="Arial" w:cs="Arial"/>
          <w:sz w:val="24"/>
          <w:szCs w:val="24"/>
        </w:rPr>
      </w:pPr>
      <w:r w:rsidRPr="000E1E37">
        <w:rPr>
          <w:rFonts w:ascii="Arial" w:hAnsi="Arial" w:cs="Arial"/>
          <w:sz w:val="24"/>
          <w:szCs w:val="24"/>
        </w:rPr>
        <w:t>darowizny na cele edukacji zawodowych.</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Podatek liniowy</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Z opodatkowania podatkiem liniowy według stawki 19% mogą korzystać m.in. podatnicy samodzielnie prowadzący działalność gospodarczą. Podatek liniowy jest prosty do wyliczenia i w swej konstrukcji przypomina schemat wyliczenia podatku według skali podatkowej. Do urzędu skarbowego wpłacany jest w okresach miesięcznych lub kwartalnych 19-procentowy podatek od dochodu. W tej sytuacji jest również możliwe rozliczenie straty z lat ubiegłych oraz pomniejszenie przychodu o poniesione koszty związane z działalnością.</w:t>
      </w:r>
    </w:p>
    <w:p w:rsidR="000E1E37" w:rsidRPr="000E1E37" w:rsidRDefault="000E1E37" w:rsidP="000E1E37">
      <w:pPr>
        <w:jc w:val="both"/>
        <w:rPr>
          <w:rFonts w:ascii="Arial" w:hAnsi="Arial" w:cs="Arial"/>
          <w:sz w:val="24"/>
          <w:szCs w:val="24"/>
        </w:rPr>
      </w:pPr>
    </w:p>
    <w:p w:rsidR="000E1E37" w:rsidRPr="000E1E37" w:rsidRDefault="000E1E37" w:rsidP="000E1E37">
      <w:pPr>
        <w:jc w:val="both"/>
        <w:rPr>
          <w:rFonts w:ascii="Arial" w:hAnsi="Arial" w:cs="Arial"/>
          <w:sz w:val="24"/>
          <w:szCs w:val="24"/>
        </w:rPr>
      </w:pPr>
      <w:r w:rsidRPr="000E1E37">
        <w:rPr>
          <w:rFonts w:ascii="Arial" w:hAnsi="Arial" w:cs="Arial"/>
          <w:sz w:val="24"/>
          <w:szCs w:val="24"/>
        </w:rPr>
        <w:t>Opodatkowanie podatkiem liniowym jest korzystne w przypadku przedsiębiorców którzy w trakcie roku uzyskują wysokie dochody. Pomimo faktu, że w przypadku tej formy opodatkowania nie występuje kwota wolna od podatku po przekroczeniu progu dochodu wynoszącego ok 105.000 zł podatek liniowy staje się bardziej opłacalny niż opodatkowanie wg skali podatkowej.</w:t>
      </w:r>
    </w:p>
    <w:p w:rsidR="000E1E37" w:rsidRDefault="000E1E37" w:rsidP="000E1E37"/>
    <w:p w:rsidR="000E1E37" w:rsidRDefault="000E1E37" w:rsidP="000E1E37">
      <w:pPr>
        <w:jc w:val="both"/>
        <w:rPr>
          <w:rStyle w:val="hgkelc"/>
          <w:rFonts w:ascii="Arial" w:hAnsi="Arial" w:cs="Arial"/>
          <w:sz w:val="24"/>
          <w:szCs w:val="24"/>
        </w:rPr>
      </w:pPr>
    </w:p>
    <w:p w:rsidR="000E1E37" w:rsidRPr="000E1E37" w:rsidRDefault="000E1E37" w:rsidP="000E1E37">
      <w:pPr>
        <w:jc w:val="both"/>
        <w:rPr>
          <w:rFonts w:ascii="Arial" w:hAnsi="Arial" w:cs="Arial"/>
          <w:sz w:val="24"/>
          <w:szCs w:val="24"/>
        </w:rPr>
      </w:pPr>
      <w:r w:rsidRPr="000E1E37">
        <w:rPr>
          <w:rStyle w:val="hgkelc"/>
          <w:rFonts w:ascii="Arial" w:hAnsi="Arial" w:cs="Arial"/>
          <w:sz w:val="24"/>
          <w:szCs w:val="24"/>
        </w:rPr>
        <w:t>W zależności od wielkości przedsiębiorst</w:t>
      </w:r>
      <w:r>
        <w:rPr>
          <w:rStyle w:val="hgkelc"/>
          <w:rFonts w:ascii="Arial" w:hAnsi="Arial" w:cs="Arial"/>
          <w:sz w:val="24"/>
          <w:szCs w:val="24"/>
        </w:rPr>
        <w:t>wa, rodzaju prowadzo</w:t>
      </w:r>
      <w:r w:rsidRPr="000E1E37">
        <w:rPr>
          <w:rStyle w:val="hgkelc"/>
          <w:rFonts w:ascii="Arial" w:hAnsi="Arial" w:cs="Arial"/>
          <w:sz w:val="24"/>
          <w:szCs w:val="24"/>
        </w:rPr>
        <w:t xml:space="preserve">nej działalności gospodarczej oraz osiąganych rezultatów finansowych mają do wyboru różne </w:t>
      </w:r>
      <w:r w:rsidRPr="000E1E37">
        <w:rPr>
          <w:rStyle w:val="hgkelc"/>
          <w:rFonts w:ascii="Arial" w:hAnsi="Arial" w:cs="Arial"/>
          <w:b/>
          <w:bCs/>
          <w:sz w:val="24"/>
          <w:szCs w:val="24"/>
        </w:rPr>
        <w:t>formy ewidencji</w:t>
      </w:r>
      <w:r w:rsidRPr="000E1E37">
        <w:rPr>
          <w:rStyle w:val="hgkelc"/>
          <w:rFonts w:ascii="Arial" w:hAnsi="Arial" w:cs="Arial"/>
          <w:sz w:val="24"/>
          <w:szCs w:val="24"/>
        </w:rPr>
        <w:t xml:space="preserve"> podatkowo-księgowej: księgi rachunkowe, zryczałtowane </w:t>
      </w:r>
      <w:r w:rsidRPr="000E1E37">
        <w:rPr>
          <w:rStyle w:val="hgkelc"/>
          <w:rFonts w:ascii="Arial" w:hAnsi="Arial" w:cs="Arial"/>
          <w:b/>
          <w:bCs/>
          <w:sz w:val="24"/>
          <w:szCs w:val="24"/>
        </w:rPr>
        <w:t>formy ewidencji</w:t>
      </w:r>
      <w:r w:rsidRPr="000E1E37">
        <w:rPr>
          <w:rStyle w:val="hgkelc"/>
          <w:rFonts w:ascii="Arial" w:hAnsi="Arial" w:cs="Arial"/>
          <w:sz w:val="24"/>
          <w:szCs w:val="24"/>
        </w:rPr>
        <w:t>, a także prowadzenie podatkowej księgi przychodów i rozchodów.</w:t>
      </w:r>
    </w:p>
    <w:p w:rsidR="000E1E37" w:rsidRDefault="000E1E37" w:rsidP="000E1E37">
      <w:pPr>
        <w:jc w:val="both"/>
        <w:rPr>
          <w:rFonts w:ascii="Arial" w:hAnsi="Arial" w:cs="Arial"/>
          <w:sz w:val="24"/>
          <w:szCs w:val="24"/>
        </w:rPr>
      </w:pP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Ewidencja środków trwałych – definicja</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bCs/>
          <w:sz w:val="24"/>
          <w:szCs w:val="24"/>
          <w:lang w:eastAsia="pl-PL"/>
        </w:rPr>
        <w:t xml:space="preserve">Czym właściwie jest wspomniana już ewidencja środków trwałych? </w:t>
      </w:r>
      <w:r w:rsidRPr="00E5145E">
        <w:rPr>
          <w:rFonts w:ascii="Arial" w:eastAsia="Times New Roman" w:hAnsi="Arial" w:cs="Arial"/>
          <w:sz w:val="24"/>
          <w:szCs w:val="24"/>
          <w:lang w:eastAsia="pl-PL"/>
        </w:rPr>
        <w:t xml:space="preserve">Zgodnie z uregulowaniami ustawowymi służy ona rejestrowaniu zakupionych środków trwałych oraz wartości niematerialnych i prawnych w celach prowadzenia działalności gospodarczej. </w:t>
      </w:r>
      <w:r w:rsidRPr="00E5145E">
        <w:rPr>
          <w:rFonts w:ascii="Arial" w:eastAsia="Times New Roman" w:hAnsi="Arial" w:cs="Arial"/>
          <w:bCs/>
          <w:sz w:val="24"/>
          <w:szCs w:val="24"/>
          <w:lang w:eastAsia="pl-PL"/>
        </w:rPr>
        <w:t>W ewidencji powinny być ujęte środki trwałe lub wspomniane wartości, które nie posiadają formy materialnej przekraczające kwotę 10 tysięcy złotych netto/brutto</w:t>
      </w:r>
      <w:r w:rsidRPr="00E5145E">
        <w:rPr>
          <w:rFonts w:ascii="Arial" w:eastAsia="Times New Roman" w:hAnsi="Arial" w:cs="Arial"/>
          <w:sz w:val="24"/>
          <w:szCs w:val="24"/>
          <w:lang w:eastAsia="pl-PL"/>
        </w:rPr>
        <w:t xml:space="preserve">. Drugim z kryteriów jest natomiast </w:t>
      </w:r>
      <w:r w:rsidRPr="00E5145E">
        <w:rPr>
          <w:rFonts w:ascii="Arial" w:eastAsia="Times New Roman" w:hAnsi="Arial" w:cs="Arial"/>
          <w:bCs/>
          <w:sz w:val="24"/>
          <w:szCs w:val="24"/>
          <w:lang w:eastAsia="pl-PL"/>
        </w:rPr>
        <w:t>okres ich użytkowania, który musi wynosić więcej niż rok</w:t>
      </w:r>
      <w:r w:rsidRPr="00E5145E">
        <w:rPr>
          <w:rFonts w:ascii="Arial" w:eastAsia="Times New Roman" w:hAnsi="Arial" w:cs="Arial"/>
          <w:sz w:val="24"/>
          <w:szCs w:val="24"/>
          <w:lang w:eastAsia="pl-PL"/>
        </w:rPr>
        <w:t>. Skąd podane wartości netto oraz brutto? Na czym polega różnica? Netto dotyczy tzw. czynnych podatników VAT, brutto z kolei przedsiębiorców zwolnionych z opłacania podatku od towaru i usług.</w:t>
      </w: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Kto ma obowiązek wpisu do ewidencji środków trwałych?</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 xml:space="preserve">Prowadzenie ewidencji środków trwałych to obowiązek każdego podatnika prowadzącego księgę przychodów i rozchodów lub rozliczającego się na zasadzie ryczałtu. Dokładne regulacje w tym zakresie znajdziemy w </w:t>
      </w:r>
      <w:r w:rsidRPr="00E5145E">
        <w:rPr>
          <w:rFonts w:ascii="Arial" w:eastAsia="Times New Roman" w:hAnsi="Arial" w:cs="Arial"/>
          <w:bCs/>
          <w:sz w:val="24"/>
          <w:szCs w:val="24"/>
          <w:lang w:eastAsia="pl-PL"/>
        </w:rPr>
        <w:t>artykule 22n ust. 2 ustawy o PIT</w:t>
      </w:r>
      <w:r w:rsidRPr="00E5145E">
        <w:rPr>
          <w:rFonts w:ascii="Arial" w:eastAsia="Times New Roman" w:hAnsi="Arial" w:cs="Arial"/>
          <w:sz w:val="24"/>
          <w:szCs w:val="24"/>
          <w:lang w:eastAsia="pl-PL"/>
        </w:rPr>
        <w:t xml:space="preserve">. Przepisy stanowią, że prowadzenie ewidencji jest jednym z warunków </w:t>
      </w:r>
      <w:r w:rsidRPr="00E5145E">
        <w:rPr>
          <w:rFonts w:ascii="Arial" w:eastAsia="Times New Roman" w:hAnsi="Arial" w:cs="Arial"/>
          <w:sz w:val="24"/>
          <w:szCs w:val="24"/>
          <w:lang w:eastAsia="pl-PL"/>
        </w:rPr>
        <w:lastRenderedPageBreak/>
        <w:t xml:space="preserve">skorzystania z możliwości zaliczenia </w:t>
      </w:r>
      <w:hyperlink r:id="rId5" w:history="1">
        <w:r w:rsidRPr="00E5145E">
          <w:rPr>
            <w:rFonts w:ascii="Arial" w:eastAsia="Times New Roman" w:hAnsi="Arial" w:cs="Arial"/>
            <w:sz w:val="24"/>
            <w:szCs w:val="24"/>
            <w:u w:val="single"/>
            <w:lang w:eastAsia="pl-PL"/>
          </w:rPr>
          <w:t>amortyzacji</w:t>
        </w:r>
      </w:hyperlink>
      <w:r w:rsidRPr="00E5145E">
        <w:rPr>
          <w:rFonts w:ascii="Arial" w:eastAsia="Times New Roman" w:hAnsi="Arial" w:cs="Arial"/>
          <w:sz w:val="24"/>
          <w:szCs w:val="24"/>
          <w:lang w:eastAsia="pl-PL"/>
        </w:rPr>
        <w:t xml:space="preserve"> jako kosztów uzyskania przychodu firmy, a co za tym idzie prowadzenia legalnej optymalizacji podatkowej.</w:t>
      </w: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Jakie są wymagane elementy ewidencji środków trwałych?</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 xml:space="preserve">Ewidencja powinna posiadać określone informacje dotyczące każdego z ujętych w niej środków trwałych lub wartości niematerialnych i prawnych. </w:t>
      </w:r>
      <w:r w:rsidRPr="00E5145E">
        <w:rPr>
          <w:rFonts w:ascii="Arial" w:eastAsia="Times New Roman" w:hAnsi="Arial" w:cs="Arial"/>
          <w:bCs/>
          <w:sz w:val="24"/>
          <w:szCs w:val="24"/>
          <w:lang w:eastAsia="pl-PL"/>
        </w:rPr>
        <w:t>Do elementów niezbędnych takiego zestawienia zaliczamy przede wszystkim:</w:t>
      </w:r>
      <w:r w:rsidRPr="00E5145E">
        <w:rPr>
          <w:rFonts w:ascii="Arial" w:eastAsia="Times New Roman" w:hAnsi="Arial" w:cs="Arial"/>
          <w:sz w:val="24"/>
          <w:szCs w:val="24"/>
          <w:lang w:eastAsia="pl-PL"/>
        </w:rPr>
        <w:t xml:space="preserve"> datę nabycia środka, datę przyjęcia do użytkowania, określenie dokumentu stwierdzającego nabycie środka, określenie środka trwałego lub wartości niematerialnej oraz prawnej, wartość początkową, symbol </w:t>
      </w:r>
      <w:r w:rsidRPr="00E5145E">
        <w:rPr>
          <w:rFonts w:ascii="Arial" w:eastAsia="Times New Roman" w:hAnsi="Arial" w:cs="Arial"/>
          <w:bCs/>
          <w:sz w:val="24"/>
          <w:szCs w:val="24"/>
          <w:lang w:eastAsia="pl-PL"/>
        </w:rPr>
        <w:t>Klasyfikacji Środków Trwałych</w:t>
      </w:r>
      <w:r w:rsidRPr="00E5145E">
        <w:rPr>
          <w:rFonts w:ascii="Arial" w:eastAsia="Times New Roman" w:hAnsi="Arial" w:cs="Arial"/>
          <w:sz w:val="24"/>
          <w:szCs w:val="24"/>
          <w:lang w:eastAsia="pl-PL"/>
        </w:rPr>
        <w:t>. Bardzo ważnym elementem jest stawka amortyzacyjna, kwota odpisu amortyzacyjnego za dany okres podatkowy wraz ze stosownymi zmianami w czasie. Istotną kwestią jest również aktualizowanie wartości początkowej środka trwałego oraz kwot odpisów amortyzacyjnych, jak i określenie wartości ulepszeń zwiększających wartość początkową. W przypadku usunięcia środka z ewidencji należy podać przyczynę oraz datę takiego działania.</w:t>
      </w:r>
    </w:p>
    <w:p w:rsidR="000E1E37" w:rsidRDefault="000E1E37" w:rsidP="00E5145E">
      <w:pPr>
        <w:jc w:val="both"/>
        <w:rPr>
          <w:rFonts w:ascii="Arial" w:hAnsi="Arial" w:cs="Arial"/>
          <w:sz w:val="24"/>
          <w:szCs w:val="24"/>
        </w:rPr>
      </w:pP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Jak dokonać wpisu do ewidencji środków trwałych?</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 xml:space="preserve">Środki trwałe wpisuje się do ewidencji jeszcze w tym samym miesiącu, w którym zostały przekazane do używania. W przeciwnym razie nie będą one mogły być amortyzowane w ramach kosztów uzyskania przychodu. W tym kontekście mówimy też o pojęciu takim jak ewidencja wyposażenia firmy. </w:t>
      </w:r>
      <w:r w:rsidRPr="00E5145E">
        <w:rPr>
          <w:rFonts w:ascii="Arial" w:eastAsia="Times New Roman" w:hAnsi="Arial" w:cs="Arial"/>
          <w:bCs/>
          <w:sz w:val="24"/>
          <w:szCs w:val="24"/>
          <w:lang w:eastAsia="pl-PL"/>
        </w:rPr>
        <w:t>Warto dodać, że w tym kontekście to nie data zakupu danej rzeczy, ale właśnie wprowadzenia jej do ewidencji jest kluczowe jeśli mówimy o terminie rozpoczęcia amortyzacji.</w:t>
      </w:r>
      <w:r w:rsidRPr="00E5145E">
        <w:rPr>
          <w:rFonts w:ascii="Arial" w:eastAsia="Times New Roman" w:hAnsi="Arial" w:cs="Arial"/>
          <w:sz w:val="24"/>
          <w:szCs w:val="24"/>
          <w:lang w:eastAsia="pl-PL"/>
        </w:rPr>
        <w:t xml:space="preserve"> Co w przypadku, gdy do ewidencji wkradnie się błąd? Wszystko zależy od jego charakteru. W sytuacji, gdy mówimy o niewielkiej pomyłce, można spokojnie dokonać stosownej korekty.</w:t>
      </w: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Jak sprzedać środek trwały?</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Wielu przedsiębiorców zastanawia się nad tym, czy sprzedaż środka trwałego jest możliwa i co wówczas z zapisami w ewidencji?</w:t>
      </w:r>
      <w:r w:rsidRPr="00E5145E">
        <w:rPr>
          <w:rFonts w:ascii="Arial" w:eastAsia="Times New Roman" w:hAnsi="Arial" w:cs="Arial"/>
          <w:bCs/>
          <w:sz w:val="24"/>
          <w:szCs w:val="24"/>
          <w:lang w:eastAsia="pl-PL"/>
        </w:rPr>
        <w:t xml:space="preserve"> Może zdarzyć się przecież tak, że środek trwały jest sprawny, ale nie potrzebujemy go już w naszej firmie. W takiej sytuacji przedsiębiorca ma prawo jego sprzedaży</w:t>
      </w:r>
      <w:r w:rsidRPr="00E5145E">
        <w:rPr>
          <w:rFonts w:ascii="Arial" w:eastAsia="Times New Roman" w:hAnsi="Arial" w:cs="Arial"/>
          <w:sz w:val="24"/>
          <w:szCs w:val="24"/>
          <w:lang w:eastAsia="pl-PL"/>
        </w:rPr>
        <w:t>. Naturalnie wiąże się z tym obowiązek zaznaczenia tego faktu w ewidencji środków trwałych, które przybiera formę wykreślenia tej konkretnej rzeczy z majątku firmy. Należy przy tym podać przyczynę oraz wszelkie dane dotyczące wartości środka. Sprzedaż środka trwałego księgowanie? Przepisy dopuszczają zaliczenie kwoty ze sprzedaży do przychodów firmy. Przy takiej transakcji podatnik jest zobligowany do wystawienia faktury.</w:t>
      </w:r>
    </w:p>
    <w:p w:rsidR="00E5145E" w:rsidRPr="00E5145E" w:rsidRDefault="00E5145E" w:rsidP="00E5145E">
      <w:pPr>
        <w:spacing w:before="100" w:beforeAutospacing="1" w:after="100" w:afterAutospacing="1" w:line="240" w:lineRule="auto"/>
        <w:jc w:val="both"/>
        <w:outlineLvl w:val="1"/>
        <w:rPr>
          <w:rFonts w:ascii="Arial" w:eastAsia="Times New Roman" w:hAnsi="Arial" w:cs="Arial"/>
          <w:bCs/>
          <w:sz w:val="24"/>
          <w:szCs w:val="24"/>
          <w:lang w:eastAsia="pl-PL"/>
        </w:rPr>
      </w:pPr>
      <w:r w:rsidRPr="00E5145E">
        <w:rPr>
          <w:rFonts w:ascii="Arial" w:eastAsia="Times New Roman" w:hAnsi="Arial" w:cs="Arial"/>
          <w:bCs/>
          <w:sz w:val="24"/>
          <w:szCs w:val="24"/>
          <w:lang w:eastAsia="pl-PL"/>
        </w:rPr>
        <w:t>Likwidacja środka trwałego a księgowanie</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bCs/>
          <w:sz w:val="24"/>
          <w:szCs w:val="24"/>
          <w:lang w:eastAsia="pl-PL"/>
        </w:rPr>
        <w:t xml:space="preserve">Do tzw. likwidacji środka dochodzi nie tylko jeśli mówimy o jego sprzedaży, ale także wówczas, gdy został uszkodzony, zniszczony, zużyty itp. </w:t>
      </w:r>
      <w:r w:rsidRPr="00E5145E">
        <w:rPr>
          <w:rFonts w:ascii="Arial" w:eastAsia="Times New Roman" w:hAnsi="Arial" w:cs="Arial"/>
          <w:sz w:val="24"/>
          <w:szCs w:val="24"/>
          <w:lang w:eastAsia="pl-PL"/>
        </w:rPr>
        <w:t>Co ważne, jeżeli likwidowany środek nie został do końca zamortyzowany, w momencie księgowania likwidacji pojawia się różnica pomiędzy wartością początkową a umorzeniem środka trwałego. W takich okolicznościach wartość tej różnicy należy zaksięgować jako pozostałe koszty operacyjne.</w:t>
      </w:r>
    </w:p>
    <w:p w:rsidR="00E5145E" w:rsidRPr="00E5145E" w:rsidRDefault="00E5145E" w:rsidP="00E5145E">
      <w:pPr>
        <w:jc w:val="both"/>
        <w:rPr>
          <w:rFonts w:ascii="Arial" w:hAnsi="Arial" w:cs="Arial"/>
          <w:b/>
          <w:sz w:val="24"/>
          <w:szCs w:val="24"/>
          <w:u w:val="single"/>
        </w:rPr>
      </w:pPr>
      <w:r w:rsidRPr="00E5145E">
        <w:rPr>
          <w:rFonts w:ascii="Arial" w:hAnsi="Arial" w:cs="Arial"/>
          <w:b/>
          <w:sz w:val="24"/>
          <w:szCs w:val="24"/>
          <w:u w:val="single"/>
        </w:rPr>
        <w:lastRenderedPageBreak/>
        <w:t>PROWADZENIE EWIDENCJI PODATKOWEJ</w:t>
      </w:r>
    </w:p>
    <w:p w:rsidR="00E5145E" w:rsidRDefault="00E5145E" w:rsidP="00E5145E">
      <w:pPr>
        <w:jc w:val="both"/>
        <w:rPr>
          <w:rFonts w:ascii="Arial" w:hAnsi="Arial" w:cs="Arial"/>
          <w:sz w:val="24"/>
          <w:szCs w:val="24"/>
        </w:rPr>
      </w:pPr>
    </w:p>
    <w:p w:rsidR="00E5145E" w:rsidRDefault="00E5145E" w:rsidP="00E5145E">
      <w:pPr>
        <w:jc w:val="both"/>
        <w:rPr>
          <w:rFonts w:ascii="Arial" w:hAnsi="Arial" w:cs="Arial"/>
          <w:sz w:val="24"/>
          <w:szCs w:val="24"/>
        </w:rPr>
      </w:pP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b/>
          <w:bCs/>
          <w:sz w:val="24"/>
          <w:szCs w:val="24"/>
          <w:lang w:eastAsia="pl-PL"/>
        </w:rPr>
        <w:t>Ewidencja podatkowa</w:t>
      </w:r>
      <w:r w:rsidRPr="00E5145E">
        <w:rPr>
          <w:rFonts w:ascii="Arial" w:eastAsia="Times New Roman" w:hAnsi="Arial" w:cs="Arial"/>
          <w:sz w:val="24"/>
          <w:szCs w:val="24"/>
          <w:lang w:eastAsia="pl-PL"/>
        </w:rPr>
        <w:t xml:space="preserve"> – ewidencja prowadzona dla celów </w:t>
      </w:r>
      <w:hyperlink r:id="rId6" w:tooltip="Podatek" w:history="1">
        <w:r w:rsidRPr="00E5145E">
          <w:rPr>
            <w:rFonts w:ascii="Arial" w:eastAsia="Times New Roman" w:hAnsi="Arial" w:cs="Arial"/>
            <w:sz w:val="24"/>
            <w:szCs w:val="24"/>
            <w:u w:val="single"/>
            <w:lang w:eastAsia="pl-PL"/>
          </w:rPr>
          <w:t>podatkowych</w:t>
        </w:r>
      </w:hyperlink>
      <w:r w:rsidRPr="00E5145E">
        <w:rPr>
          <w:rFonts w:ascii="Arial" w:eastAsia="Times New Roman" w:hAnsi="Arial" w:cs="Arial"/>
          <w:sz w:val="24"/>
          <w:szCs w:val="24"/>
          <w:lang w:eastAsia="pl-PL"/>
        </w:rPr>
        <w:t xml:space="preserve"> i służących ustaleniu rzeczywistej wielkości obciążenia podatkowego. Rodzaj prowadzonej ewidencji podatkowej zależny jest od formy opodatkowania przedsiębiorcy: </w:t>
      </w:r>
    </w:p>
    <w:p w:rsidR="00E5145E" w:rsidRPr="00E5145E" w:rsidRDefault="00E5145E" w:rsidP="00E5145E">
      <w:p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 xml:space="preserve">Pełna księgowość: </w:t>
      </w:r>
    </w:p>
    <w:p w:rsidR="00E5145E" w:rsidRPr="00E5145E" w:rsidRDefault="00E5145E" w:rsidP="00E5145E">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wszystkich zdarzeń gospodarczych,</w:t>
      </w:r>
    </w:p>
    <w:p w:rsidR="00E5145E" w:rsidRPr="00E5145E" w:rsidRDefault="00E5145E" w:rsidP="00E5145E">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środków trwałych,</w:t>
      </w:r>
    </w:p>
    <w:p w:rsidR="00E5145E" w:rsidRPr="00E5145E" w:rsidRDefault="00E5145E" w:rsidP="00E5145E">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wartości niematerialnych i prawnych.</w:t>
      </w:r>
    </w:p>
    <w:p w:rsidR="00E5145E" w:rsidRPr="00E5145E" w:rsidRDefault="00640553" w:rsidP="00E5145E">
      <w:pPr>
        <w:spacing w:before="100" w:beforeAutospacing="1" w:after="100" w:afterAutospacing="1" w:line="240" w:lineRule="auto"/>
        <w:jc w:val="both"/>
        <w:rPr>
          <w:rFonts w:ascii="Arial" w:eastAsia="Times New Roman" w:hAnsi="Arial" w:cs="Arial"/>
          <w:sz w:val="24"/>
          <w:szCs w:val="24"/>
          <w:lang w:eastAsia="pl-PL"/>
        </w:rPr>
      </w:pPr>
      <w:hyperlink r:id="rId7" w:tooltip="Podatkowa księga przychodów i rozchodów" w:history="1">
        <w:r w:rsidR="00E5145E" w:rsidRPr="00E5145E">
          <w:rPr>
            <w:rFonts w:ascii="Arial" w:eastAsia="Times New Roman" w:hAnsi="Arial" w:cs="Arial"/>
            <w:sz w:val="24"/>
            <w:szCs w:val="24"/>
            <w:u w:val="single"/>
            <w:lang w:eastAsia="pl-PL"/>
          </w:rPr>
          <w:t>Księga przychodów i rozchodów</w:t>
        </w:r>
      </w:hyperlink>
      <w:r w:rsidR="00E5145E" w:rsidRPr="00E5145E">
        <w:rPr>
          <w:rFonts w:ascii="Arial" w:eastAsia="Times New Roman" w:hAnsi="Arial" w:cs="Arial"/>
          <w:sz w:val="24"/>
          <w:szCs w:val="24"/>
          <w:lang w:eastAsia="pl-PL"/>
        </w:rPr>
        <w:t xml:space="preserve"> </w:t>
      </w:r>
    </w:p>
    <w:p w:rsidR="00E5145E" w:rsidRPr="00E5145E" w:rsidRDefault="00640553"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hyperlink r:id="rId8" w:tooltip="Ewidencja środków trwałych" w:history="1">
        <w:r w:rsidR="00E5145E" w:rsidRPr="00E5145E">
          <w:rPr>
            <w:rFonts w:ascii="Arial" w:eastAsia="Times New Roman" w:hAnsi="Arial" w:cs="Arial"/>
            <w:sz w:val="24"/>
            <w:szCs w:val="24"/>
            <w:u w:val="single"/>
            <w:lang w:eastAsia="pl-PL"/>
          </w:rPr>
          <w:t>ewidencja środków trwałych oraz wartości niematerialnych i prawnych</w:t>
        </w:r>
      </w:hyperlink>
      <w:r w:rsidR="00E5145E" w:rsidRPr="00E5145E">
        <w:rPr>
          <w:rFonts w:ascii="Arial" w:eastAsia="Times New Roman" w:hAnsi="Arial" w:cs="Arial"/>
          <w:sz w:val="24"/>
          <w:szCs w:val="24"/>
          <w:lang w:eastAsia="pl-PL"/>
        </w:rPr>
        <w:t>,</w:t>
      </w:r>
    </w:p>
    <w:p w:rsidR="00E5145E" w:rsidRPr="00E5145E" w:rsidRDefault="00640553"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hyperlink r:id="rId9" w:tooltip="Ewidencja wyposażenia" w:history="1">
        <w:r w:rsidR="00E5145E" w:rsidRPr="00E5145E">
          <w:rPr>
            <w:rFonts w:ascii="Arial" w:eastAsia="Times New Roman" w:hAnsi="Arial" w:cs="Arial"/>
            <w:sz w:val="24"/>
            <w:szCs w:val="24"/>
            <w:u w:val="single"/>
            <w:lang w:eastAsia="pl-PL"/>
          </w:rPr>
          <w:t>ewidencja wyposażenia</w:t>
        </w:r>
      </w:hyperlink>
      <w:r w:rsidR="00E5145E" w:rsidRPr="00E5145E">
        <w:rPr>
          <w:rFonts w:ascii="Arial" w:eastAsia="Times New Roman" w:hAnsi="Arial" w:cs="Arial"/>
          <w:sz w:val="24"/>
          <w:szCs w:val="24"/>
          <w:lang w:eastAsia="pl-PL"/>
        </w:rPr>
        <w:t>,</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inne karty przychodów pracowników (pracodawcy),</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książka kontroli,</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kupna i sprzedaży wartości dewizowych (kantory),</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pożyczek i rzeczy zastawionych (lombardy),</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sprzedaży (klienci biur rachunkowych),</w:t>
      </w:r>
    </w:p>
    <w:p w:rsidR="00E5145E" w:rsidRPr="00E5145E" w:rsidRDefault="00E5145E" w:rsidP="00E5145E">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przebiegu pojazdu.</w:t>
      </w:r>
    </w:p>
    <w:p w:rsidR="00E5145E" w:rsidRPr="00E5145E" w:rsidRDefault="00640553" w:rsidP="00E5145E">
      <w:pPr>
        <w:spacing w:before="100" w:beforeAutospacing="1" w:after="100" w:afterAutospacing="1" w:line="240" w:lineRule="auto"/>
        <w:jc w:val="both"/>
        <w:rPr>
          <w:rFonts w:ascii="Arial" w:eastAsia="Times New Roman" w:hAnsi="Arial" w:cs="Arial"/>
          <w:sz w:val="24"/>
          <w:szCs w:val="24"/>
          <w:lang w:eastAsia="pl-PL"/>
        </w:rPr>
      </w:pPr>
      <w:hyperlink r:id="rId10" w:tooltip="Podatek dochodowy od osób fizycznych" w:history="1">
        <w:r w:rsidR="00E5145E" w:rsidRPr="00E5145E">
          <w:rPr>
            <w:rFonts w:ascii="Arial" w:eastAsia="Times New Roman" w:hAnsi="Arial" w:cs="Arial"/>
            <w:sz w:val="24"/>
            <w:szCs w:val="24"/>
            <w:u w:val="single"/>
            <w:lang w:eastAsia="pl-PL"/>
          </w:rPr>
          <w:t>Ryczałt od przychodów ewidencjonowanych</w:t>
        </w:r>
      </w:hyperlink>
      <w:r w:rsidR="00E5145E" w:rsidRPr="00E5145E">
        <w:rPr>
          <w:rFonts w:ascii="Arial" w:eastAsia="Times New Roman" w:hAnsi="Arial" w:cs="Arial"/>
          <w:sz w:val="24"/>
          <w:szCs w:val="24"/>
          <w:lang w:eastAsia="pl-PL"/>
        </w:rPr>
        <w:t xml:space="preserve"> </w:t>
      </w:r>
    </w:p>
    <w:p w:rsidR="00E5145E" w:rsidRPr="00E5145E" w:rsidRDefault="00E5145E" w:rsidP="00E5145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przychodów,</w:t>
      </w:r>
    </w:p>
    <w:p w:rsidR="00E5145E" w:rsidRPr="00E5145E" w:rsidRDefault="00E5145E" w:rsidP="00E5145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wykaz środków trwałych oraz wartości niematerialnych i prawnych,</w:t>
      </w:r>
    </w:p>
    <w:p w:rsidR="00E5145E" w:rsidRPr="00E5145E" w:rsidRDefault="00E5145E" w:rsidP="00E5145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ewidencja wyposażenia,</w:t>
      </w:r>
    </w:p>
    <w:p w:rsidR="00E5145E" w:rsidRPr="00E5145E" w:rsidRDefault="00E5145E" w:rsidP="00E5145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imienne karty przychodów pracowników (pracodawcy),</w:t>
      </w:r>
    </w:p>
    <w:p w:rsidR="00E5145E" w:rsidRPr="00E5145E" w:rsidRDefault="00E5145E" w:rsidP="00E5145E">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książka kontroli.</w:t>
      </w:r>
    </w:p>
    <w:p w:rsidR="00E5145E" w:rsidRPr="00E5145E" w:rsidRDefault="00640553" w:rsidP="00E5145E">
      <w:pPr>
        <w:spacing w:before="100" w:beforeAutospacing="1" w:after="100" w:afterAutospacing="1" w:line="240" w:lineRule="auto"/>
        <w:jc w:val="both"/>
        <w:rPr>
          <w:rFonts w:ascii="Arial" w:eastAsia="Times New Roman" w:hAnsi="Arial" w:cs="Arial"/>
          <w:sz w:val="24"/>
          <w:szCs w:val="24"/>
          <w:lang w:eastAsia="pl-PL"/>
        </w:rPr>
      </w:pPr>
      <w:hyperlink r:id="rId11" w:tooltip="Karta podatkowa" w:history="1">
        <w:r w:rsidR="00E5145E" w:rsidRPr="00E5145E">
          <w:rPr>
            <w:rFonts w:ascii="Arial" w:eastAsia="Times New Roman" w:hAnsi="Arial" w:cs="Arial"/>
            <w:sz w:val="24"/>
            <w:szCs w:val="24"/>
            <w:u w:val="single"/>
            <w:lang w:eastAsia="pl-PL"/>
          </w:rPr>
          <w:t>Karta podatkowa</w:t>
        </w:r>
      </w:hyperlink>
      <w:r w:rsidR="00E5145E" w:rsidRPr="00E5145E">
        <w:rPr>
          <w:rFonts w:ascii="Arial" w:eastAsia="Times New Roman" w:hAnsi="Arial" w:cs="Arial"/>
          <w:sz w:val="24"/>
          <w:szCs w:val="24"/>
          <w:lang w:eastAsia="pl-PL"/>
        </w:rPr>
        <w:t xml:space="preserve"> </w:t>
      </w:r>
    </w:p>
    <w:p w:rsidR="00E5145E" w:rsidRPr="00E5145E" w:rsidRDefault="00E5145E" w:rsidP="00E5145E">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imienne karty przychodów pracowników (pracodawcy),</w:t>
      </w:r>
    </w:p>
    <w:p w:rsidR="00E5145E" w:rsidRPr="00E5145E" w:rsidRDefault="00E5145E" w:rsidP="00E5145E">
      <w:pPr>
        <w:numPr>
          <w:ilvl w:val="0"/>
          <w:numId w:val="6"/>
        </w:numPr>
        <w:spacing w:before="100" w:beforeAutospacing="1" w:after="100" w:afterAutospacing="1" w:line="240" w:lineRule="auto"/>
        <w:jc w:val="both"/>
        <w:rPr>
          <w:rFonts w:ascii="Arial" w:eastAsia="Times New Roman" w:hAnsi="Arial" w:cs="Arial"/>
          <w:sz w:val="24"/>
          <w:szCs w:val="24"/>
          <w:lang w:eastAsia="pl-PL"/>
        </w:rPr>
      </w:pPr>
      <w:r w:rsidRPr="00E5145E">
        <w:rPr>
          <w:rFonts w:ascii="Arial" w:eastAsia="Times New Roman" w:hAnsi="Arial" w:cs="Arial"/>
          <w:sz w:val="24"/>
          <w:szCs w:val="24"/>
          <w:lang w:eastAsia="pl-PL"/>
        </w:rPr>
        <w:t>książka kontroli.</w:t>
      </w:r>
    </w:p>
    <w:p w:rsidR="00E5145E" w:rsidRPr="00E5145E" w:rsidRDefault="00E5145E" w:rsidP="00E5145E">
      <w:pPr>
        <w:jc w:val="both"/>
        <w:rPr>
          <w:rFonts w:ascii="Arial" w:hAnsi="Arial" w:cs="Arial"/>
          <w:sz w:val="24"/>
          <w:szCs w:val="24"/>
        </w:rPr>
      </w:pPr>
    </w:p>
    <w:sectPr w:rsidR="00E5145E" w:rsidRPr="00E514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42CBF"/>
    <w:multiLevelType w:val="multilevel"/>
    <w:tmpl w:val="D152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2A6DF4"/>
    <w:multiLevelType w:val="hybridMultilevel"/>
    <w:tmpl w:val="F47E0F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40456A3B"/>
    <w:multiLevelType w:val="multilevel"/>
    <w:tmpl w:val="35D4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B677A2"/>
    <w:multiLevelType w:val="hybridMultilevel"/>
    <w:tmpl w:val="BEAC5C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4740B84"/>
    <w:multiLevelType w:val="multilevel"/>
    <w:tmpl w:val="DAF8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A644A0"/>
    <w:multiLevelType w:val="multilevel"/>
    <w:tmpl w:val="D97A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E37"/>
    <w:rsid w:val="000E1E37"/>
    <w:rsid w:val="002575C2"/>
    <w:rsid w:val="00640553"/>
    <w:rsid w:val="00E514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380A48-4A09-4A8F-A8A1-75588B54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0E1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E1E37"/>
    <w:pPr>
      <w:ind w:left="720"/>
      <w:contextualSpacing/>
    </w:pPr>
  </w:style>
  <w:style w:type="character" w:customStyle="1" w:styleId="hgkelc">
    <w:name w:val="hgkelc"/>
    <w:basedOn w:val="Domylnaczcionkaakapitu"/>
    <w:rsid w:val="000E1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230996">
      <w:bodyDiv w:val="1"/>
      <w:marLeft w:val="0"/>
      <w:marRight w:val="0"/>
      <w:marTop w:val="0"/>
      <w:marBottom w:val="0"/>
      <w:divBdr>
        <w:top w:val="none" w:sz="0" w:space="0" w:color="auto"/>
        <w:left w:val="none" w:sz="0" w:space="0" w:color="auto"/>
        <w:bottom w:val="none" w:sz="0" w:space="0" w:color="auto"/>
        <w:right w:val="none" w:sz="0" w:space="0" w:color="auto"/>
      </w:divBdr>
    </w:div>
    <w:div w:id="1909919643">
      <w:bodyDiv w:val="1"/>
      <w:marLeft w:val="0"/>
      <w:marRight w:val="0"/>
      <w:marTop w:val="0"/>
      <w:marBottom w:val="0"/>
      <w:divBdr>
        <w:top w:val="none" w:sz="0" w:space="0" w:color="auto"/>
        <w:left w:val="none" w:sz="0" w:space="0" w:color="auto"/>
        <w:bottom w:val="none" w:sz="0" w:space="0" w:color="auto"/>
        <w:right w:val="none" w:sz="0" w:space="0" w:color="auto"/>
      </w:divBdr>
    </w:div>
    <w:div w:id="211466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Ewidencja_%C5%9Brodk%C3%B3w_trwa%C5%82y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wikipedia.org/wiki/Podatkowa_ksi%C4%99ga_przychod%C3%B3w_i_rozchod%C3%B3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wikipedia.org/wiki/Podatek" TargetMode="External"/><Relationship Id="rId11" Type="http://schemas.openxmlformats.org/officeDocument/2006/relationships/hyperlink" Target="https://pl.wikipedia.org/wiki/Karta_podatkowa" TargetMode="External"/><Relationship Id="rId5" Type="http://schemas.openxmlformats.org/officeDocument/2006/relationships/hyperlink" Target="https://inewi.pl/Blog/metody-amortyzacji-srodkow-trwalych" TargetMode="External"/><Relationship Id="rId10" Type="http://schemas.openxmlformats.org/officeDocument/2006/relationships/hyperlink" Target="https://pl.wikipedia.org/wiki/Podatek_dochodowy_od_os%C3%B3b_fizycznych" TargetMode="External"/><Relationship Id="rId4" Type="http://schemas.openxmlformats.org/officeDocument/2006/relationships/webSettings" Target="webSettings.xml"/><Relationship Id="rId9" Type="http://schemas.openxmlformats.org/officeDocument/2006/relationships/hyperlink" Target="https://pl.wikipedia.org/wiki/Ewidencja_wyposa%C5%BCen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1462</Words>
  <Characters>8774</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3</cp:revision>
  <dcterms:created xsi:type="dcterms:W3CDTF">2020-11-29T11:40:00Z</dcterms:created>
  <dcterms:modified xsi:type="dcterms:W3CDTF">2020-11-29T12:56:00Z</dcterms:modified>
</cp:coreProperties>
</file>