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2D" w:rsidRDefault="00A95C2D" w:rsidP="00517ED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27-29.11.2020</w:t>
      </w:r>
      <w:bookmarkStart w:id="0" w:name="_GoBack"/>
      <w:bookmarkEnd w:id="0"/>
    </w:p>
    <w:p w:rsidR="00517ED2" w:rsidRPr="00517ED2" w:rsidRDefault="00517ED2" w:rsidP="00517ED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MIARY ANALIZY ROZPROSZENIA</w:t>
      </w:r>
    </w:p>
    <w:p w:rsidR="00517ED2" w:rsidRDefault="00517ED2" w:rsidP="00517ED2">
      <w:pPr>
        <w:rPr>
          <w:b/>
          <w:bCs/>
        </w:rPr>
      </w:pPr>
    </w:p>
    <w:p w:rsidR="00517ED2" w:rsidRPr="00517ED2" w:rsidRDefault="00517ED2" w:rsidP="00517ED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17ED2">
        <w:rPr>
          <w:rFonts w:ascii="Arial" w:hAnsi="Arial" w:cs="Arial"/>
          <w:b/>
          <w:bCs/>
          <w:sz w:val="24"/>
          <w:szCs w:val="24"/>
        </w:rPr>
        <w:t>Miary rozproszenia</w:t>
      </w:r>
    </w:p>
    <w:p w:rsidR="00517ED2" w:rsidRDefault="00517ED2" w:rsidP="00517ED2">
      <w:pPr>
        <w:jc w:val="both"/>
        <w:rPr>
          <w:rFonts w:ascii="Arial" w:hAnsi="Arial" w:cs="Arial"/>
          <w:sz w:val="24"/>
          <w:szCs w:val="24"/>
        </w:rPr>
      </w:pPr>
      <w:r w:rsidRPr="00517ED2">
        <w:rPr>
          <w:rFonts w:ascii="Arial" w:hAnsi="Arial" w:cs="Arial"/>
          <w:sz w:val="24"/>
          <w:szCs w:val="24"/>
        </w:rPr>
        <w:t xml:space="preserve">Jednym z technik statystyki opisowej jest </w:t>
      </w:r>
      <w:r w:rsidRPr="00517ED2">
        <w:rPr>
          <w:rFonts w:ascii="Arial" w:hAnsi="Arial" w:cs="Arial"/>
          <w:b/>
          <w:bCs/>
          <w:sz w:val="24"/>
          <w:szCs w:val="24"/>
        </w:rPr>
        <w:t>wyznaczanie miar rozkładów</w:t>
      </w:r>
      <w:r w:rsidRPr="00517ED2">
        <w:rPr>
          <w:rFonts w:ascii="Arial" w:hAnsi="Arial" w:cs="Arial"/>
          <w:sz w:val="24"/>
          <w:szCs w:val="24"/>
        </w:rPr>
        <w:t xml:space="preserve">. </w:t>
      </w:r>
    </w:p>
    <w:p w:rsidR="00517ED2" w:rsidRPr="00517ED2" w:rsidRDefault="00517ED2" w:rsidP="00517ED2">
      <w:pPr>
        <w:jc w:val="both"/>
        <w:rPr>
          <w:rFonts w:ascii="Arial" w:hAnsi="Arial" w:cs="Arial"/>
          <w:sz w:val="24"/>
          <w:szCs w:val="24"/>
        </w:rPr>
      </w:pPr>
      <w:r w:rsidRPr="00517ED2">
        <w:rPr>
          <w:rFonts w:ascii="Arial" w:hAnsi="Arial" w:cs="Arial"/>
          <w:sz w:val="24"/>
          <w:szCs w:val="24"/>
        </w:rPr>
        <w:t>Miary rozkładów dzielimy na:</w:t>
      </w:r>
    </w:p>
    <w:p w:rsidR="00517ED2" w:rsidRPr="00517ED2" w:rsidRDefault="00517ED2" w:rsidP="00517ED2">
      <w:r w:rsidRPr="00517ED2">
        <w:rPr>
          <w:noProof/>
          <w:lang w:eastAsia="pl-PL"/>
        </w:rPr>
        <w:drawing>
          <wp:inline distT="0" distB="0" distL="0" distR="0">
            <wp:extent cx="5623560" cy="1934061"/>
            <wp:effectExtent l="0" t="0" r="0" b="9525"/>
            <wp:docPr id="1" name="Obraz 1" descr="https://cyrkiel.info/wp-content/uploads/2018/07/miary-rozkładó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yrkiel.info/wp-content/uploads/2018/07/miary-rozkładó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70" cy="196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D2" w:rsidRDefault="00517ED2">
      <w:pPr>
        <w:rPr>
          <w:rFonts w:ascii="Arial" w:hAnsi="Arial" w:cs="Arial"/>
          <w:sz w:val="24"/>
          <w:szCs w:val="24"/>
        </w:rPr>
      </w:pPr>
      <w:r w:rsidRPr="00517ED2">
        <w:rPr>
          <w:rFonts w:ascii="Arial" w:hAnsi="Arial" w:cs="Arial"/>
          <w:b/>
          <w:bCs/>
          <w:sz w:val="24"/>
          <w:szCs w:val="24"/>
        </w:rPr>
        <w:t xml:space="preserve">Miary rozproszenia </w:t>
      </w:r>
      <w:r w:rsidRPr="00517ED2">
        <w:rPr>
          <w:rFonts w:ascii="Arial" w:hAnsi="Arial" w:cs="Arial"/>
          <w:sz w:val="24"/>
          <w:szCs w:val="24"/>
        </w:rPr>
        <w:t>opisują jak dane są </w:t>
      </w:r>
      <w:r w:rsidRPr="00517ED2">
        <w:rPr>
          <w:rFonts w:ascii="Arial" w:hAnsi="Arial" w:cs="Arial"/>
          <w:b/>
          <w:bCs/>
          <w:sz w:val="24"/>
          <w:szCs w:val="24"/>
        </w:rPr>
        <w:t>rozproszone</w:t>
      </w:r>
      <w:r w:rsidRPr="00517ED2">
        <w:rPr>
          <w:rFonts w:ascii="Arial" w:hAnsi="Arial" w:cs="Arial"/>
          <w:sz w:val="24"/>
          <w:szCs w:val="24"/>
        </w:rPr>
        <w:t xml:space="preserve"> (inaczej </w:t>
      </w:r>
      <w:r w:rsidRPr="00517ED2">
        <w:rPr>
          <w:rFonts w:ascii="Arial" w:hAnsi="Arial" w:cs="Arial"/>
          <w:i/>
          <w:iCs/>
          <w:sz w:val="24"/>
          <w:szCs w:val="24"/>
        </w:rPr>
        <w:t>rozrzucone</w:t>
      </w:r>
      <w:r w:rsidRPr="00517ED2">
        <w:rPr>
          <w:rFonts w:ascii="Arial" w:hAnsi="Arial" w:cs="Arial"/>
          <w:sz w:val="24"/>
          <w:szCs w:val="24"/>
        </w:rPr>
        <w:t>) wokół głównego punktu rozkładu.</w:t>
      </w:r>
    </w:p>
    <w:p w:rsidR="00517ED2" w:rsidRPr="00517ED2" w:rsidRDefault="00517ED2">
      <w:pPr>
        <w:rPr>
          <w:rFonts w:ascii="Arial" w:hAnsi="Arial" w:cs="Arial"/>
          <w:sz w:val="24"/>
          <w:szCs w:val="24"/>
        </w:rPr>
      </w:pPr>
      <w:r w:rsidRPr="00517ED2">
        <w:rPr>
          <w:rFonts w:ascii="Arial" w:hAnsi="Arial" w:cs="Arial"/>
          <w:sz w:val="24"/>
          <w:szCs w:val="24"/>
        </w:rPr>
        <w:t xml:space="preserve">Do </w:t>
      </w:r>
      <w:r w:rsidRPr="00517ED2">
        <w:rPr>
          <w:rStyle w:val="Pogrubienie"/>
          <w:rFonts w:ascii="Arial" w:hAnsi="Arial" w:cs="Arial"/>
          <w:sz w:val="24"/>
          <w:szCs w:val="24"/>
        </w:rPr>
        <w:t>miar rozproszenia</w:t>
      </w:r>
      <w:r w:rsidRPr="00517ED2">
        <w:rPr>
          <w:rFonts w:ascii="Arial" w:hAnsi="Arial" w:cs="Arial"/>
          <w:sz w:val="24"/>
          <w:szCs w:val="24"/>
        </w:rPr>
        <w:t xml:space="preserve"> należą między innymi: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2845"/>
        <w:gridCol w:w="7078"/>
      </w:tblGrid>
      <w:tr w:rsidR="00517ED2" w:rsidRPr="00517ED2" w:rsidTr="00517ED2">
        <w:tc>
          <w:tcPr>
            <w:tcW w:w="2845" w:type="dxa"/>
            <w:hideMark/>
          </w:tcPr>
          <w:p w:rsidR="00517ED2" w:rsidRPr="00517ED2" w:rsidRDefault="00517ED2" w:rsidP="00517E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7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wariancja</w:t>
            </w:r>
          </w:p>
        </w:tc>
        <w:tc>
          <w:tcPr>
            <w:tcW w:w="7078" w:type="dxa"/>
            <w:hideMark/>
          </w:tcPr>
          <w:p w:rsidR="00517ED2" w:rsidRPr="00517ED2" w:rsidRDefault="00517ED2" w:rsidP="00517E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7E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Pokazuje, jak wartości danej cechy są rozrzucone (rozproszone) wokół jej średniej.</w:t>
            </w:r>
          </w:p>
        </w:tc>
      </w:tr>
      <w:tr w:rsidR="00517ED2" w:rsidRPr="00517ED2" w:rsidTr="00517ED2">
        <w:tc>
          <w:tcPr>
            <w:tcW w:w="2845" w:type="dxa"/>
            <w:hideMark/>
          </w:tcPr>
          <w:p w:rsidR="00517ED2" w:rsidRPr="00517ED2" w:rsidRDefault="00517ED2" w:rsidP="00517E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7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odchylenie standardowe</w:t>
            </w:r>
          </w:p>
        </w:tc>
        <w:tc>
          <w:tcPr>
            <w:tcW w:w="7078" w:type="dxa"/>
            <w:hideMark/>
          </w:tcPr>
          <w:p w:rsidR="00517ED2" w:rsidRPr="00517ED2" w:rsidRDefault="00517ED2" w:rsidP="00517E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7E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Pokazuje, jak wartości danej cechy są rozrzucone wokół jej średniej.</w:t>
            </w:r>
          </w:p>
          <w:p w:rsidR="00517ED2" w:rsidRPr="00517ED2" w:rsidRDefault="00517ED2" w:rsidP="00517ED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7E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Różni się od wariancji tym, że jest jej pierwiastkiem.</w:t>
            </w:r>
          </w:p>
          <w:p w:rsidR="00517ED2" w:rsidRPr="00517ED2" w:rsidRDefault="00517ED2" w:rsidP="00517ED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7E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Im mniejsza wartość odchylenia tym odchylenie standardowe </w:t>
            </w:r>
            <w:r w:rsidRPr="00517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zbliża się</w:t>
            </w:r>
            <w:r w:rsidRPr="00517E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jej średniej.</w:t>
            </w:r>
          </w:p>
          <w:p w:rsidR="00517ED2" w:rsidRPr="00517ED2" w:rsidRDefault="00517ED2" w:rsidP="00517ED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7E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Im większa wartość, tym ono się </w:t>
            </w:r>
            <w:r w:rsidRPr="00517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oddala</w:t>
            </w:r>
            <w:r w:rsidRPr="00517E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od jej średniej.</w:t>
            </w:r>
          </w:p>
        </w:tc>
      </w:tr>
      <w:tr w:rsidR="00517ED2" w:rsidRPr="00517ED2" w:rsidTr="00517ED2">
        <w:tc>
          <w:tcPr>
            <w:tcW w:w="2845" w:type="dxa"/>
            <w:hideMark/>
          </w:tcPr>
          <w:p w:rsidR="00517ED2" w:rsidRPr="00517ED2" w:rsidRDefault="00517ED2" w:rsidP="00517E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7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średnie odchylenie bezwzględne</w:t>
            </w:r>
          </w:p>
        </w:tc>
        <w:tc>
          <w:tcPr>
            <w:tcW w:w="7078" w:type="dxa"/>
            <w:hideMark/>
          </w:tcPr>
          <w:p w:rsidR="00517ED2" w:rsidRPr="00517ED2" w:rsidRDefault="00517ED2" w:rsidP="00517E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7E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Interpretacja jest podobna do odchylenia standardowego.</w:t>
            </w:r>
          </w:p>
        </w:tc>
      </w:tr>
      <w:tr w:rsidR="00517ED2" w:rsidRPr="00517ED2" w:rsidTr="00517ED2">
        <w:tc>
          <w:tcPr>
            <w:tcW w:w="2845" w:type="dxa"/>
            <w:hideMark/>
          </w:tcPr>
          <w:p w:rsidR="00517ED2" w:rsidRPr="00517ED2" w:rsidRDefault="00517ED2" w:rsidP="00517E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7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współczynnik zmienności rozkładu (klasyczny lub pozycyjny)</w:t>
            </w:r>
          </w:p>
        </w:tc>
        <w:tc>
          <w:tcPr>
            <w:tcW w:w="7078" w:type="dxa"/>
            <w:hideMark/>
          </w:tcPr>
          <w:p w:rsidR="00517ED2" w:rsidRPr="00517ED2" w:rsidRDefault="00517ED2" w:rsidP="00517E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7E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Bezwzględna miara zmienności rozkładu – pozwala zmierzyć w procentach jak bardzo zróżnicowany jest rozkład</w:t>
            </w:r>
          </w:p>
        </w:tc>
      </w:tr>
      <w:tr w:rsidR="00517ED2" w:rsidRPr="00517ED2" w:rsidTr="00517ED2">
        <w:tc>
          <w:tcPr>
            <w:tcW w:w="2845" w:type="dxa"/>
            <w:hideMark/>
          </w:tcPr>
          <w:p w:rsidR="00517ED2" w:rsidRPr="00517ED2" w:rsidRDefault="00517ED2" w:rsidP="00517E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7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rozstęp</w:t>
            </w:r>
          </w:p>
        </w:tc>
        <w:tc>
          <w:tcPr>
            <w:tcW w:w="7078" w:type="dxa"/>
            <w:hideMark/>
          </w:tcPr>
          <w:p w:rsidR="00517ED2" w:rsidRPr="00517ED2" w:rsidRDefault="00517ED2" w:rsidP="00517E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7E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Pokazuje, jaka jest największa różnica (skrajna wartość) pomiędzy najmniejszą wielkością a największą.</w:t>
            </w:r>
          </w:p>
        </w:tc>
      </w:tr>
      <w:tr w:rsidR="00517ED2" w:rsidRPr="00517ED2" w:rsidTr="00517ED2">
        <w:tc>
          <w:tcPr>
            <w:tcW w:w="2845" w:type="dxa"/>
            <w:hideMark/>
          </w:tcPr>
          <w:p w:rsidR="00517ED2" w:rsidRPr="00517ED2" w:rsidRDefault="00517ED2" w:rsidP="00517E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7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rozstęp ćwiartkowy</w:t>
            </w:r>
          </w:p>
        </w:tc>
        <w:tc>
          <w:tcPr>
            <w:tcW w:w="7078" w:type="dxa"/>
            <w:hideMark/>
          </w:tcPr>
          <w:p w:rsidR="00517ED2" w:rsidRPr="00517ED2" w:rsidRDefault="00517ED2" w:rsidP="00517E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7E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Pokazuje, jaka jest różnica pomiędzy kwantylem rzędu a kwantylem rzędu.</w:t>
            </w:r>
          </w:p>
        </w:tc>
      </w:tr>
      <w:tr w:rsidR="00517ED2" w:rsidRPr="00517ED2" w:rsidTr="00517ED2">
        <w:tc>
          <w:tcPr>
            <w:tcW w:w="2845" w:type="dxa"/>
            <w:hideMark/>
          </w:tcPr>
          <w:p w:rsidR="00517ED2" w:rsidRPr="00517ED2" w:rsidRDefault="00517ED2" w:rsidP="00517E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7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odchylenie ćwiartkowe</w:t>
            </w:r>
          </w:p>
        </w:tc>
        <w:tc>
          <w:tcPr>
            <w:tcW w:w="7078" w:type="dxa"/>
            <w:hideMark/>
          </w:tcPr>
          <w:p w:rsidR="00517ED2" w:rsidRPr="00517ED2" w:rsidRDefault="00517ED2" w:rsidP="00517E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7E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Pokazuje, gdzie się znajduję połowa rozstępu ćwiartkowego.</w:t>
            </w:r>
          </w:p>
        </w:tc>
      </w:tr>
    </w:tbl>
    <w:p w:rsidR="00517ED2" w:rsidRDefault="00517ED2"/>
    <w:p w:rsidR="00517ED2" w:rsidRPr="00A20EBC" w:rsidRDefault="00A20EBC" w:rsidP="00A20EBC">
      <w:pPr>
        <w:jc w:val="both"/>
        <w:rPr>
          <w:rFonts w:ascii="Arial" w:hAnsi="Arial" w:cs="Arial"/>
          <w:sz w:val="24"/>
          <w:szCs w:val="24"/>
        </w:rPr>
      </w:pPr>
      <w:r w:rsidRPr="00A20EBC">
        <w:rPr>
          <w:rFonts w:ascii="Arial" w:hAnsi="Arial" w:cs="Arial"/>
          <w:sz w:val="24"/>
          <w:szCs w:val="24"/>
        </w:rPr>
        <w:lastRenderedPageBreak/>
        <w:t>Wartości średnie nie wystarczają do scharakteryzowania struktury zbiorowości. Badana zbiorowość statystyczna może powiem charakteryzować się różnym stopniem zmienności (rozproszenia, zróżnicowania, dyspersji)</w:t>
      </w:r>
      <w:r>
        <w:rPr>
          <w:rFonts w:ascii="Arial" w:hAnsi="Arial" w:cs="Arial"/>
          <w:sz w:val="24"/>
          <w:szCs w:val="24"/>
        </w:rPr>
        <w:t xml:space="preserve"> </w:t>
      </w:r>
      <w:r w:rsidRPr="00A20EBC">
        <w:rPr>
          <w:rFonts w:ascii="Arial" w:hAnsi="Arial" w:cs="Arial"/>
          <w:sz w:val="24"/>
          <w:szCs w:val="24"/>
        </w:rPr>
        <w:t>badanej cechy. Dyspersją</w:t>
      </w:r>
      <w:r>
        <w:rPr>
          <w:rFonts w:ascii="Arial" w:hAnsi="Arial" w:cs="Arial"/>
          <w:sz w:val="24"/>
          <w:szCs w:val="24"/>
        </w:rPr>
        <w:t xml:space="preserve"> </w:t>
      </w:r>
      <w:r w:rsidRPr="00A20EBC">
        <w:rPr>
          <w:rFonts w:ascii="Arial" w:hAnsi="Arial" w:cs="Arial"/>
          <w:sz w:val="24"/>
          <w:szCs w:val="24"/>
        </w:rPr>
        <w:t>nazywa się zróżnicowanie jednostek zbiorowości ze względu na wartość badanej cechy. Zmienność ocenia się za pomocą wielu miar statystycznych, wśród których wyróżnia się miary klasyczne i pozycyjne. Miary dyspersji dzieli się także</w:t>
      </w:r>
      <w:r>
        <w:rPr>
          <w:rFonts w:ascii="Arial" w:hAnsi="Arial" w:cs="Arial"/>
          <w:sz w:val="24"/>
          <w:szCs w:val="24"/>
        </w:rPr>
        <w:t xml:space="preserve"> </w:t>
      </w:r>
      <w:r w:rsidRPr="00A20EBC">
        <w:rPr>
          <w:rFonts w:ascii="Arial" w:hAnsi="Arial" w:cs="Arial"/>
          <w:sz w:val="24"/>
          <w:szCs w:val="24"/>
        </w:rPr>
        <w:t>na bezwzględne (absolutne) i względne (relatywne, stosunkowe). Klasyczne miary zmienności</w:t>
      </w:r>
      <w:r>
        <w:rPr>
          <w:rFonts w:ascii="Arial" w:hAnsi="Arial" w:cs="Arial"/>
          <w:sz w:val="24"/>
          <w:szCs w:val="24"/>
        </w:rPr>
        <w:t xml:space="preserve"> </w:t>
      </w:r>
      <w:r w:rsidRPr="00A20EBC">
        <w:rPr>
          <w:rFonts w:ascii="Arial" w:hAnsi="Arial" w:cs="Arial"/>
          <w:sz w:val="24"/>
          <w:szCs w:val="24"/>
        </w:rPr>
        <w:t>obliczane są na podstawie wszystkich wartości badanej cechy,</w:t>
      </w:r>
      <w:r>
        <w:rPr>
          <w:rFonts w:ascii="Arial" w:hAnsi="Arial" w:cs="Arial"/>
          <w:sz w:val="24"/>
          <w:szCs w:val="24"/>
        </w:rPr>
        <w:t xml:space="preserve"> </w:t>
      </w:r>
      <w:r w:rsidRPr="00A20EBC">
        <w:rPr>
          <w:rFonts w:ascii="Arial" w:hAnsi="Arial" w:cs="Arial"/>
          <w:sz w:val="24"/>
          <w:szCs w:val="24"/>
        </w:rPr>
        <w:t>pozycyjne –na</w:t>
      </w:r>
      <w:r>
        <w:rPr>
          <w:rFonts w:ascii="Arial" w:hAnsi="Arial" w:cs="Arial"/>
          <w:sz w:val="24"/>
          <w:szCs w:val="24"/>
        </w:rPr>
        <w:t xml:space="preserve"> </w:t>
      </w:r>
      <w:r w:rsidRPr="00A20EBC">
        <w:rPr>
          <w:rFonts w:ascii="Arial" w:hAnsi="Arial" w:cs="Arial"/>
          <w:sz w:val="24"/>
          <w:szCs w:val="24"/>
        </w:rPr>
        <w:t xml:space="preserve">podstawie niektórych (stojących na określonej pozycji) wartości. Do klasycznych miar zmienności zaliczamy odchylenie przeciętne, odchylenie standardowe, wariancję i współczynnik zmienności (obliczany przy użyciu odchylenia standardowego i średniej arytmetycznej). W grupie </w:t>
      </w:r>
      <w:r>
        <w:rPr>
          <w:rFonts w:ascii="Arial" w:hAnsi="Arial" w:cs="Arial"/>
          <w:sz w:val="24"/>
          <w:szCs w:val="24"/>
        </w:rPr>
        <w:t>pozycyjnych miar zmiennościowych różnią</w:t>
      </w:r>
      <w:r w:rsidRPr="00A20EBC">
        <w:rPr>
          <w:rFonts w:ascii="Arial" w:hAnsi="Arial" w:cs="Arial"/>
          <w:sz w:val="24"/>
          <w:szCs w:val="24"/>
        </w:rPr>
        <w:t xml:space="preserve"> się: empiryczny obszar zmienności (rozstęp), odchylenie ćwiartkowe oraz pozycyjny współczynnik zmienności. Bezwzględne miary zmienności(tj. rozstęp, odchylenie ćwiartkowe, wariancja</w:t>
      </w:r>
      <w:r>
        <w:rPr>
          <w:rFonts w:ascii="Arial" w:hAnsi="Arial" w:cs="Arial"/>
          <w:sz w:val="24"/>
          <w:szCs w:val="24"/>
        </w:rPr>
        <w:t xml:space="preserve"> </w:t>
      </w:r>
      <w:r w:rsidRPr="00A20EBC">
        <w:rPr>
          <w:rFonts w:ascii="Arial" w:hAnsi="Arial" w:cs="Arial"/>
          <w:sz w:val="24"/>
          <w:szCs w:val="24"/>
        </w:rPr>
        <w:t>oraz odchylenie standardowe) są wielkościami mianowanymi, posiadającymi miano badanej cechy. Względną miarą dyspersji</w:t>
      </w:r>
      <w:r>
        <w:rPr>
          <w:rFonts w:ascii="Arial" w:hAnsi="Arial" w:cs="Arial"/>
          <w:sz w:val="24"/>
          <w:szCs w:val="24"/>
        </w:rPr>
        <w:t xml:space="preserve"> </w:t>
      </w:r>
      <w:r w:rsidRPr="00A20EBC">
        <w:rPr>
          <w:rFonts w:ascii="Arial" w:hAnsi="Arial" w:cs="Arial"/>
          <w:sz w:val="24"/>
          <w:szCs w:val="24"/>
        </w:rPr>
        <w:t>jest współczynnik zmienności, wyrażany w procentach.</w:t>
      </w:r>
    </w:p>
    <w:p w:rsidR="00517ED2" w:rsidRDefault="00517ED2"/>
    <w:p w:rsidR="00D269B3" w:rsidRDefault="00D269B3"/>
    <w:p w:rsidR="00A20EBC" w:rsidRDefault="00D269B3">
      <w:pPr>
        <w:rPr>
          <w:rFonts w:ascii="Arial" w:hAnsi="Arial" w:cs="Arial"/>
          <w:b/>
          <w:sz w:val="24"/>
          <w:szCs w:val="24"/>
          <w:u w:val="single"/>
        </w:rPr>
      </w:pPr>
      <w:r w:rsidRPr="00D269B3">
        <w:rPr>
          <w:rFonts w:ascii="Arial" w:hAnsi="Arial" w:cs="Arial"/>
          <w:b/>
          <w:sz w:val="24"/>
          <w:szCs w:val="24"/>
          <w:u w:val="single"/>
        </w:rPr>
        <w:t>MIARY ANALIZY DYNAMIKI</w:t>
      </w:r>
    </w:p>
    <w:p w:rsidR="00CC2EFF" w:rsidRDefault="00CC2EFF">
      <w:pPr>
        <w:rPr>
          <w:rStyle w:val="hgkelc"/>
          <w:b/>
          <w:bCs/>
        </w:rPr>
      </w:pPr>
    </w:p>
    <w:p w:rsidR="00004050" w:rsidRPr="00004050" w:rsidRDefault="00004050" w:rsidP="00004050">
      <w:pPr>
        <w:jc w:val="both"/>
        <w:rPr>
          <w:rFonts w:ascii="Arial" w:hAnsi="Arial" w:cs="Arial"/>
          <w:sz w:val="24"/>
          <w:szCs w:val="24"/>
        </w:rPr>
      </w:pPr>
      <w:r w:rsidRPr="00004050">
        <w:rPr>
          <w:rFonts w:ascii="Arial" w:hAnsi="Arial" w:cs="Arial"/>
          <w:sz w:val="24"/>
          <w:szCs w:val="24"/>
        </w:rPr>
        <w:t>Miary dynamiki – nazywane również miernikami dynamiki – są wykorzystywane do pomiaru wielkości i kierunku zmian zachodzących w poziomie badanego zjawiska wraz z upływem czasu. Istnieją różne mierniki dynamiki: niektóre z nich pozwalają na wyrażenie wielkości zachodzących zmian w liczbach mianowanych, a inne – w liczbach względnych. Obliczanie mierników dynamiki od strony matematycznej jest stosunkowo proste: po-lega na odjęciu lub podzieleniu dwóch liczb, z których jedna przedstawia wielkość zjawiska w jednej jednostce czasu, nazywanej okresem badanym lub okresem bieżącym, a druga – w innej jednostce czasu. Ta inna jednostka czasu nazywana jest okresem podstawowym lub okresem bazowym. Jeżeli przy obliczaniu miar dynamiki w różnych okresach lub momentach występuje zawsze ten sam okres podstawowy, to obliczone miary dynamiki dla kolejnych okresów nazywane są miarami dynamiki o podstawie stałej lub jednopodstawowymi miarami dynamiki. Okresem podstawowym w tym przypadku jest często najstarszy okres występujący w szeregu dynamicznym lub inny charakterystyczny okres (np. okres w którym rozpoczęto pomiar badanego zjawiska). Okresem podstawowym nie powinien być nigdy taki okres, w którym badane zjawisko osiągnęło poziom zdecydowanie odbiegający od jego poziomu w innych okresach – bo wtedy obliczone miary dynamiki byłyby zniekształcone.</w:t>
      </w:r>
    </w:p>
    <w:p w:rsidR="00004050" w:rsidRDefault="00004050">
      <w:pPr>
        <w:rPr>
          <w:rFonts w:ascii="Arial" w:hAnsi="Arial" w:cs="Arial"/>
          <w:sz w:val="20"/>
          <w:szCs w:val="20"/>
        </w:rPr>
      </w:pPr>
    </w:p>
    <w:p w:rsidR="00004050" w:rsidRDefault="00004050">
      <w:pPr>
        <w:rPr>
          <w:rFonts w:ascii="Arial" w:hAnsi="Arial" w:cs="Arial"/>
          <w:sz w:val="20"/>
          <w:szCs w:val="20"/>
        </w:rPr>
      </w:pPr>
    </w:p>
    <w:p w:rsidR="00004050" w:rsidRDefault="00004050">
      <w:pPr>
        <w:rPr>
          <w:rFonts w:ascii="Arial" w:hAnsi="Arial" w:cs="Arial"/>
          <w:b/>
          <w:sz w:val="24"/>
          <w:szCs w:val="24"/>
          <w:u w:val="single"/>
        </w:rPr>
      </w:pPr>
    </w:p>
    <w:p w:rsidR="00004050" w:rsidRDefault="00004050">
      <w:pPr>
        <w:rPr>
          <w:rFonts w:ascii="Arial" w:hAnsi="Arial" w:cs="Arial"/>
          <w:b/>
          <w:sz w:val="24"/>
          <w:szCs w:val="24"/>
          <w:u w:val="single"/>
        </w:rPr>
      </w:pPr>
    </w:p>
    <w:p w:rsidR="00004050" w:rsidRPr="00004050" w:rsidRDefault="00004050" w:rsidP="00004050">
      <w:pPr>
        <w:jc w:val="both"/>
        <w:rPr>
          <w:rFonts w:ascii="Arial" w:hAnsi="Arial" w:cs="Arial"/>
          <w:sz w:val="24"/>
          <w:szCs w:val="24"/>
        </w:rPr>
      </w:pPr>
      <w:r w:rsidRPr="00004050">
        <w:rPr>
          <w:rFonts w:ascii="Arial" w:hAnsi="Arial" w:cs="Arial"/>
          <w:sz w:val="24"/>
          <w:szCs w:val="24"/>
        </w:rPr>
        <w:t>Miarami statystycznymi wykorzystywanymi do badania dynamiki zjawisk jednorodnych są:</w:t>
      </w:r>
    </w:p>
    <w:p w:rsidR="00004050" w:rsidRDefault="00004050" w:rsidP="00004050">
      <w:pPr>
        <w:jc w:val="both"/>
        <w:rPr>
          <w:rFonts w:ascii="Arial" w:hAnsi="Arial" w:cs="Arial"/>
          <w:sz w:val="24"/>
          <w:szCs w:val="24"/>
        </w:rPr>
      </w:pPr>
      <w:r w:rsidRPr="00004050">
        <w:rPr>
          <w:rFonts w:ascii="Arial" w:hAnsi="Arial" w:cs="Arial"/>
          <w:sz w:val="24"/>
          <w:szCs w:val="24"/>
        </w:rPr>
        <w:t>• przyrost bezwzględny;</w:t>
      </w:r>
    </w:p>
    <w:p w:rsidR="00004050" w:rsidRDefault="00004050" w:rsidP="00004050">
      <w:pPr>
        <w:jc w:val="both"/>
        <w:rPr>
          <w:rFonts w:ascii="Arial" w:hAnsi="Arial" w:cs="Arial"/>
          <w:sz w:val="24"/>
          <w:szCs w:val="24"/>
        </w:rPr>
      </w:pPr>
      <w:r w:rsidRPr="00004050">
        <w:rPr>
          <w:rFonts w:ascii="Arial" w:hAnsi="Arial" w:cs="Arial"/>
          <w:sz w:val="24"/>
          <w:szCs w:val="24"/>
        </w:rPr>
        <w:t>• przyrost względny i tempo wzrostu;</w:t>
      </w:r>
    </w:p>
    <w:p w:rsidR="00004050" w:rsidRDefault="00004050" w:rsidP="00004050">
      <w:pPr>
        <w:jc w:val="both"/>
        <w:rPr>
          <w:rFonts w:ascii="Arial" w:hAnsi="Arial" w:cs="Arial"/>
          <w:sz w:val="24"/>
          <w:szCs w:val="24"/>
        </w:rPr>
      </w:pPr>
      <w:r w:rsidRPr="00004050">
        <w:rPr>
          <w:rFonts w:ascii="Arial" w:hAnsi="Arial" w:cs="Arial"/>
          <w:sz w:val="24"/>
          <w:szCs w:val="24"/>
        </w:rPr>
        <w:t xml:space="preserve">• indeksy indywidualne. </w:t>
      </w:r>
    </w:p>
    <w:p w:rsidR="00004050" w:rsidRDefault="00004050" w:rsidP="00004050">
      <w:pPr>
        <w:jc w:val="both"/>
        <w:rPr>
          <w:rFonts w:ascii="Arial" w:hAnsi="Arial" w:cs="Arial"/>
          <w:sz w:val="24"/>
          <w:szCs w:val="24"/>
        </w:rPr>
      </w:pPr>
      <w:r w:rsidRPr="00004050">
        <w:rPr>
          <w:rFonts w:ascii="Arial" w:hAnsi="Arial" w:cs="Arial"/>
          <w:sz w:val="24"/>
          <w:szCs w:val="24"/>
        </w:rPr>
        <w:t>Każda z wymienionych miar może być obliczona jako miara o podstawie stałej oraz jako miara o podstawie zmiennej. Przyrost bezwzględny Przyrost bezwzględny (przyrost absolutny) – oznaczany symbolem Δy – jest o różnica poziomu (wielkości) tego samego zjawiska w dwóch różnych okresach. Może być obliczony tylko wtedy, gdy poziom zjawiska w okresie badanym i w okresie podstawowym jest wyrażony w takich samych jednostkach miary. Oblicza się go odejmując od wielkości zjawiska w okresie badanym wielkość zjawiska w okresie podstawowym. Po obliczeniu przyrostu absolutnego uzyskuje się informacje o tym, o ile jednostek zmienił się (wzrósł lub zmalał) poziom zjawiska w okresie badanym w porównaniu z poziomem tego samego zjawiska w okresie podstawowym.1.Gdy przyrost bezwzględny jest wyrażony liczbą dodatnią, to liczba ta mówi nam, o ile jednostek wzrósł poziom zjawiska w okresie badanym w porównaniu z poziomem zjawiska w okresie podstawowym.2.Gdy przyrost bezwzględny jest wyrażony liczbą ujemną, to liczba ta mówi nam, o ile jednostek spadł poziom zjawiska w okresie badanym w porównaniu z poziomem zjawiska w okresie podstawowym.3.Gdy przyrost bezwzględny wynosi zero, to poziom badanego zjawiska w okresie badanym jest taki sam jak w okresie podstawowym. Liczba przedstawiająca przyrost absolutny jest zawsze liczbą mianowaną – stoi przy niej taka sama jednostka miary, jaka była przy liczbach przedstawiających poziomy zjawiska w okresie badanym i w okresie podstawowym. Przyrosty bezwzględne mogą być przyrostami o podstawie stałej (oznaczane symbolem Δys) lub przyrostami o podstawie zmiennej (oznaczane symbolem Δyz).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2EFF" w:rsidRPr="00004050" w:rsidRDefault="00004050" w:rsidP="00004050">
      <w:pPr>
        <w:jc w:val="both"/>
        <w:rPr>
          <w:rFonts w:ascii="Arial" w:hAnsi="Arial" w:cs="Arial"/>
          <w:sz w:val="24"/>
          <w:szCs w:val="24"/>
        </w:rPr>
      </w:pPr>
      <w:r w:rsidRPr="00004050">
        <w:rPr>
          <w:rFonts w:ascii="Arial" w:hAnsi="Arial" w:cs="Arial"/>
          <w:sz w:val="24"/>
          <w:szCs w:val="24"/>
        </w:rPr>
        <w:t xml:space="preserve">Przyrosty bezwzględne o podstawie stałej (nazywane również jednopodstawowymi </w:t>
      </w:r>
      <w:r>
        <w:rPr>
          <w:rFonts w:ascii="Arial" w:hAnsi="Arial" w:cs="Arial"/>
          <w:sz w:val="24"/>
          <w:szCs w:val="24"/>
        </w:rPr>
        <w:t xml:space="preserve">przyrostami </w:t>
      </w:r>
      <w:r w:rsidRPr="00004050">
        <w:rPr>
          <w:rFonts w:ascii="Arial" w:hAnsi="Arial" w:cs="Arial"/>
          <w:sz w:val="24"/>
          <w:szCs w:val="24"/>
        </w:rPr>
        <w:t>bezwzględnymi)charakteryzują się tym, że wielkość badanego zjawiska w ko-lejnych jednostkach czasu jest zawsze porównywana z wielkością tego samego zjawiska w jednej, zawsze tej samej jednostce czasu.</w:t>
      </w:r>
    </w:p>
    <w:p w:rsidR="00004050" w:rsidRPr="00004050" w:rsidRDefault="00004050" w:rsidP="00004050">
      <w:pPr>
        <w:jc w:val="both"/>
        <w:rPr>
          <w:rFonts w:ascii="Arial" w:hAnsi="Arial" w:cs="Arial"/>
          <w:sz w:val="24"/>
          <w:szCs w:val="24"/>
        </w:rPr>
      </w:pPr>
    </w:p>
    <w:p w:rsidR="00004050" w:rsidRPr="00004050" w:rsidRDefault="00004050" w:rsidP="00004050">
      <w:pPr>
        <w:jc w:val="both"/>
        <w:rPr>
          <w:rFonts w:ascii="Arial" w:hAnsi="Arial" w:cs="Arial"/>
          <w:sz w:val="24"/>
          <w:szCs w:val="24"/>
        </w:rPr>
      </w:pPr>
      <w:r w:rsidRPr="00004050">
        <w:rPr>
          <w:rFonts w:ascii="Arial" w:hAnsi="Arial" w:cs="Arial"/>
          <w:sz w:val="24"/>
          <w:szCs w:val="24"/>
        </w:rPr>
        <w:t xml:space="preserve">Przyrosty bezwzględne o podstawie stałej mogą być wykorzystywane do analizy określonego zjawiska w dłuższym horyzoncie czasowym. W takiej sytuacji oblicza się ciąg tych przyrostów dla kolejnych, następujących po sobie okresów. Ciąg ten przyjmuje postać: y1– yc,y2– yc, y3– yc, y4– yc, ..., y(n–1)– yc,yn– yc. Przyrosty bezwzględne o podstawie zmiennej (nazywane również łańcuchowymi przyrostami bezwzględnymi)charakteryzują się tym, że wielkość badanego zjawiska w ko-lejnych jednostkach czasu jest zawsze porównywana z wielkością tego samego zjawiska w jednostce czasu, która wystąpiła bezpośrednio przed nią. Tak więc przy obliczaniu przyrostu bezwzględnego o podstawie zmiennej dla kolejnych okresów okres bazowy jest za każdym razem inny. </w:t>
      </w:r>
    </w:p>
    <w:p w:rsidR="00004050" w:rsidRPr="00004050" w:rsidRDefault="00004050" w:rsidP="0000405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004050" w:rsidRPr="0000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D2"/>
    <w:rsid w:val="00004050"/>
    <w:rsid w:val="002575C2"/>
    <w:rsid w:val="00517ED2"/>
    <w:rsid w:val="00A20EBC"/>
    <w:rsid w:val="00A95C2D"/>
    <w:rsid w:val="00AD10AB"/>
    <w:rsid w:val="00CC2EFF"/>
    <w:rsid w:val="00D269B3"/>
    <w:rsid w:val="00F8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3D34C-3FE1-4B54-AFDA-0C583B3B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17ED2"/>
    <w:rPr>
      <w:b/>
      <w:bCs/>
    </w:rPr>
  </w:style>
  <w:style w:type="table" w:styleId="Tabela-Siatka">
    <w:name w:val="Table Grid"/>
    <w:basedOn w:val="Standardowy"/>
    <w:uiPriority w:val="39"/>
    <w:rsid w:val="0051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1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17ED2"/>
    <w:rPr>
      <w:i/>
      <w:iCs/>
    </w:rPr>
  </w:style>
  <w:style w:type="character" w:customStyle="1" w:styleId="hgkelc">
    <w:name w:val="hgkelc"/>
    <w:basedOn w:val="Domylnaczcionkaakapitu"/>
    <w:rsid w:val="00CC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i Andrzej</dc:creator>
  <cp:keywords/>
  <dc:description/>
  <cp:lastModifiedBy>Dominika i Andrzej</cp:lastModifiedBy>
  <cp:revision>5</cp:revision>
  <dcterms:created xsi:type="dcterms:W3CDTF">2020-11-29T09:02:00Z</dcterms:created>
  <dcterms:modified xsi:type="dcterms:W3CDTF">2020-11-29T12:58:00Z</dcterms:modified>
</cp:coreProperties>
</file>