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221" w:rsidRDefault="00583221" w:rsidP="00583221">
      <w:pPr>
        <w:jc w:val="both"/>
      </w:pPr>
      <w:r>
        <w:t xml:space="preserve">Drodzy Słuchacze s. I </w:t>
      </w:r>
      <w:r w:rsidR="00B24919">
        <w:t>a</w:t>
      </w:r>
      <w:r>
        <w:t xml:space="preserve">  LO ! </w:t>
      </w:r>
    </w:p>
    <w:p w:rsidR="008A32F7" w:rsidRDefault="00583221" w:rsidP="008A32F7">
      <w:pPr>
        <w:jc w:val="both"/>
      </w:pPr>
      <w:r>
        <w:t xml:space="preserve">Poniżej zamieszczam materiały edukacyjne z V zjazdu. </w:t>
      </w:r>
      <w:r w:rsidR="008A32F7">
        <w:t xml:space="preserve"> </w:t>
      </w:r>
    </w:p>
    <w:p w:rsidR="008A32F7" w:rsidRDefault="008A32F7" w:rsidP="008A32F7">
      <w:pPr>
        <w:jc w:val="both"/>
      </w:pPr>
      <w:r>
        <w:t xml:space="preserve">Proszę o przeczytanie z podręcznika (lub innego dostępnego źródła) fragm. Apokalipsy </w:t>
      </w:r>
      <w:r w:rsidR="00711D7A">
        <w:t xml:space="preserve">                </w:t>
      </w:r>
      <w:r>
        <w:t>św. Jana (</w:t>
      </w:r>
      <w:proofErr w:type="spellStart"/>
      <w:r>
        <w:t>Ap</w:t>
      </w:r>
      <w:proofErr w:type="spellEnd"/>
      <w:r>
        <w:t xml:space="preserve">. 1,9-10;6;13,1-4), wiersza „Piosenka o końcu świata” Cz. Miłosza oraz tekstu „Bogurodzicy” i analizę </w:t>
      </w:r>
      <w:r w:rsidR="00711D7A">
        <w:t xml:space="preserve">pieśni </w:t>
      </w:r>
      <w:r>
        <w:t xml:space="preserve">wg poleceń zamieszczonych pod tekstem w podręczniku. Notatkę proszę przepisać do zeszytu. </w:t>
      </w:r>
    </w:p>
    <w:p w:rsidR="008A32F7" w:rsidRDefault="008A32F7" w:rsidP="008A32F7">
      <w:pPr>
        <w:jc w:val="both"/>
      </w:pPr>
      <w:r>
        <w:t xml:space="preserve">Uwaga! Aby zrozumieć sens </w:t>
      </w:r>
      <w:r w:rsidRPr="008A32F7">
        <w:rPr>
          <w:i/>
        </w:rPr>
        <w:t>Bogurodzicy</w:t>
      </w:r>
      <w:r>
        <w:t>, pisanej najdawniejszą polszczyzną, należy zapoznać się z zamieszczonymi przypisami (wyjaśnieniami).</w:t>
      </w:r>
    </w:p>
    <w:p w:rsidR="008A32F7" w:rsidRDefault="008A32F7" w:rsidP="008A32F7">
      <w:pPr>
        <w:jc w:val="both"/>
      </w:pPr>
      <w:r>
        <w:t xml:space="preserve">Dobrze byłoby wysłuchać nagrania „Bogurodzicy” na </w:t>
      </w:r>
      <w:proofErr w:type="spellStart"/>
      <w:r>
        <w:t>Youtube</w:t>
      </w:r>
      <w:proofErr w:type="spellEnd"/>
      <w:r>
        <w:t xml:space="preserve"> (robi wrażenie) i poszukać                   w Internecie reprodukcji dzieł sztuki średniowiecznej przedstawiającej motywy maryjne.</w:t>
      </w:r>
    </w:p>
    <w:p w:rsidR="00583221" w:rsidRDefault="00583221" w:rsidP="00583221">
      <w:pPr>
        <w:jc w:val="both"/>
      </w:pPr>
    </w:p>
    <w:p w:rsidR="008A32F7" w:rsidRDefault="00583221" w:rsidP="008A32F7">
      <w:pPr>
        <w:jc w:val="both"/>
      </w:pPr>
      <w:r>
        <w:rPr>
          <w:u w:val="single"/>
        </w:rPr>
        <w:t>T</w:t>
      </w:r>
      <w:r w:rsidRPr="00245DEF">
        <w:rPr>
          <w:u w:val="single"/>
        </w:rPr>
        <w:t>ematy zajęć</w:t>
      </w:r>
      <w:r>
        <w:rPr>
          <w:u w:val="single"/>
        </w:rPr>
        <w:t xml:space="preserve"> (07.-08.11.2020 r.) </w:t>
      </w:r>
    </w:p>
    <w:p w:rsidR="00725E47" w:rsidRDefault="00583221" w:rsidP="008A32F7">
      <w:pPr>
        <w:jc w:val="both"/>
      </w:pPr>
      <w:r>
        <w:t xml:space="preserve">1. </w:t>
      </w:r>
      <w:r w:rsidR="008A32F7" w:rsidRPr="008A32F7">
        <w:t>„Apokalipsa św. Jana”  jako źródło motywów i symboli.</w:t>
      </w:r>
      <w:r w:rsidR="00725E47">
        <w:t xml:space="preserve"> Cechy stylu biblijnego.                          Stylizacja biblijna.   </w:t>
      </w:r>
    </w:p>
    <w:p w:rsidR="00725E47" w:rsidRDefault="00725E47" w:rsidP="008A32F7">
      <w:pPr>
        <w:jc w:val="both"/>
      </w:pPr>
      <w:r>
        <w:t>2. Czy wyrazy zawsze znaczą to, co znaczą? Frazeologizmy, sentencje i aforyzmy - ćwiczenia.</w:t>
      </w:r>
    </w:p>
    <w:p w:rsidR="00725E47" w:rsidRDefault="00725E47" w:rsidP="008A32F7">
      <w:pPr>
        <w:jc w:val="both"/>
      </w:pPr>
      <w:r>
        <w:t>3. Piękno i blask wieków średnich. Wprowadzenie do epoki średniowiecza.</w:t>
      </w:r>
    </w:p>
    <w:p w:rsidR="00725E47" w:rsidRPr="00725E47" w:rsidRDefault="00725E47" w:rsidP="00725E47">
      <w:r>
        <w:t xml:space="preserve">4.  </w:t>
      </w:r>
      <w:r w:rsidRPr="00725E47">
        <w:t>Hierarchia i pośrednictwo w „Bogurodzicy”.</w:t>
      </w:r>
      <w:r>
        <w:t xml:space="preserve"> Wyobrażenia Matki Bożej w poezji i sztuce średniowiecza.</w:t>
      </w:r>
    </w:p>
    <w:p w:rsidR="00583221" w:rsidRDefault="00725E47" w:rsidP="00583221">
      <w:pPr>
        <w:jc w:val="both"/>
      </w:pPr>
      <w:r w:rsidRPr="00725E47">
        <w:t>5.</w:t>
      </w:r>
      <w:r w:rsidR="00386BBB">
        <w:t xml:space="preserve"> Pieśń ojców - miejsce „Bogurodzicy” w kulturze polskiej. </w:t>
      </w:r>
      <w:r w:rsidRPr="00725E47">
        <w:t>„Bogurodzica” jako zabytek języka polskiego</w:t>
      </w:r>
      <w:r>
        <w:t xml:space="preserve">. Archaizmy. </w:t>
      </w:r>
      <w:r w:rsidR="00386BBB">
        <w:t xml:space="preserve">                                                             </w:t>
      </w:r>
    </w:p>
    <w:p w:rsidR="00386BBB" w:rsidRDefault="00386BBB" w:rsidP="00583221">
      <w:pPr>
        <w:jc w:val="both"/>
      </w:pPr>
    </w:p>
    <w:p w:rsidR="00583221" w:rsidRPr="00C76D79" w:rsidRDefault="00583221" w:rsidP="00583221">
      <w:pPr>
        <w:jc w:val="both"/>
        <w:rPr>
          <w:b/>
        </w:rPr>
      </w:pPr>
      <w:r w:rsidRPr="00C76D79">
        <w:rPr>
          <w:b/>
        </w:rPr>
        <w:t xml:space="preserve">Jeśli ktoś wykonał zadaną pracę kontrolną (termin przedłużam do </w:t>
      </w:r>
      <w:r>
        <w:rPr>
          <w:b/>
        </w:rPr>
        <w:t>20</w:t>
      </w:r>
      <w:r w:rsidRPr="00C76D79">
        <w:rPr>
          <w:b/>
        </w:rPr>
        <w:t xml:space="preserve"> </w:t>
      </w:r>
      <w:r>
        <w:rPr>
          <w:b/>
        </w:rPr>
        <w:t>listopada</w:t>
      </w:r>
      <w:r w:rsidRPr="00C76D79">
        <w:rPr>
          <w:b/>
        </w:rPr>
        <w:t xml:space="preserve">), może przysłać odpowiedzi  w pliku tekstowym jako załącznik na adres mailowy </w:t>
      </w:r>
      <w:hyperlink r:id="rId7" w:history="1">
        <w:r w:rsidRPr="00C76D79">
          <w:rPr>
            <w:rStyle w:val="Hipercze"/>
            <w:b/>
          </w:rPr>
          <w:t>mpbiblioteka.cku@gmail.com</w:t>
        </w:r>
      </w:hyperlink>
      <w:r w:rsidRPr="00C76D79">
        <w:rPr>
          <w:b/>
        </w:rPr>
        <w:t xml:space="preserve"> </w:t>
      </w:r>
      <w:r>
        <w:rPr>
          <w:b/>
        </w:rPr>
        <w:t>lub doręczyć do szkoły (pudełko przy wejściu)</w:t>
      </w:r>
    </w:p>
    <w:p w:rsidR="00583221" w:rsidRDefault="00583221" w:rsidP="00583221">
      <w:pPr>
        <w:jc w:val="both"/>
      </w:pPr>
    </w:p>
    <w:p w:rsidR="00583221" w:rsidRDefault="00583221" w:rsidP="00583221">
      <w:pPr>
        <w:jc w:val="both"/>
      </w:pPr>
      <w:r>
        <w:t xml:space="preserve">                                                                                     Pozdrawiam – Małgorzata Pawlak</w:t>
      </w:r>
    </w:p>
    <w:p w:rsidR="002C04EB" w:rsidRDefault="002C04EB"/>
    <w:p w:rsidR="003D77CF" w:rsidRDefault="003D77CF"/>
    <w:p w:rsidR="003D77CF" w:rsidRDefault="003D77CF"/>
    <w:p w:rsidR="00386BBB" w:rsidRDefault="00386BBB" w:rsidP="003D77CF">
      <w:pPr>
        <w:jc w:val="center"/>
        <w:rPr>
          <w:b/>
        </w:rPr>
      </w:pPr>
    </w:p>
    <w:p w:rsidR="003D77CF" w:rsidRDefault="003D77CF" w:rsidP="003D77CF">
      <w:pPr>
        <w:jc w:val="center"/>
      </w:pPr>
      <w:r w:rsidRPr="00E859B4">
        <w:rPr>
          <w:b/>
        </w:rPr>
        <w:lastRenderedPageBreak/>
        <w:t>„Apokalipsa św. Jana”  jako źródło motywów i symboli.</w:t>
      </w:r>
    </w:p>
    <w:p w:rsidR="003D77CF" w:rsidRDefault="003D77CF" w:rsidP="003D77CF">
      <w:pPr>
        <w:jc w:val="both"/>
      </w:pPr>
      <w:r w:rsidRPr="00791C6D">
        <w:rPr>
          <w:i/>
        </w:rPr>
        <w:t>Apokalipsa</w:t>
      </w:r>
      <w:r>
        <w:t xml:space="preserve"> to ostatnia księga Nowego Testamentu. Ma charakter proroctwa, objawienia. Autorstwo tekstu przypisywane było św. Janowi, choć najprawdopodobniej spisany został przez uczniów apostoła. W potocznym rozumieniu słowo apokalipsa kojarzy się z katastrofą, zagładą ludzkości. W Biblii określano tak jeden z gatunków literackich, gr. </w:t>
      </w:r>
      <w:proofErr w:type="spellStart"/>
      <w:r w:rsidRPr="00E859B4">
        <w:rPr>
          <w:i/>
        </w:rPr>
        <w:t>apokalypsis</w:t>
      </w:r>
      <w:proofErr w:type="spellEnd"/>
      <w:r w:rsidRPr="00E859B4">
        <w:rPr>
          <w:i/>
        </w:rPr>
        <w:t xml:space="preserve"> </w:t>
      </w:r>
      <w:r>
        <w:t xml:space="preserve">znaczy „objawienie” (czyli odsłonięcie Bożych tajemnic). W wizyjnych obrazach autor księgi zapowiada wydarzenia, które nadadzą ostateczny sens historii człowieka i ziemi. Wszystko, co się działo i dzieje jest bowiem częścią Bożego planu. </w:t>
      </w:r>
    </w:p>
    <w:p w:rsidR="003D77CF" w:rsidRDefault="003D77CF" w:rsidP="003D77CF">
      <w:pPr>
        <w:spacing w:line="240" w:lineRule="auto"/>
        <w:jc w:val="both"/>
      </w:pPr>
      <w:r>
        <w:t xml:space="preserve">W </w:t>
      </w:r>
      <w:r w:rsidRPr="00791C6D">
        <w:rPr>
          <w:i/>
        </w:rPr>
        <w:t>Apokalipsie</w:t>
      </w:r>
      <w:r>
        <w:t xml:space="preserve"> pojawia się wiele niejasnych </w:t>
      </w:r>
      <w:r w:rsidRPr="00791C6D">
        <w:rPr>
          <w:b/>
        </w:rPr>
        <w:t>symboli</w:t>
      </w:r>
      <w:r>
        <w:t>. Najczęściej przywoływane z nich to:</w:t>
      </w:r>
    </w:p>
    <w:p w:rsidR="003D77CF" w:rsidRDefault="003D77CF" w:rsidP="003D77CF">
      <w:pPr>
        <w:spacing w:line="240" w:lineRule="auto"/>
      </w:pPr>
      <w:r w:rsidRPr="00791C6D">
        <w:rPr>
          <w:b/>
        </w:rPr>
        <w:t>Baranek</w:t>
      </w:r>
      <w:r>
        <w:t xml:space="preserve"> – Jezus Chrystus                                                                                                                                                                </w:t>
      </w:r>
      <w:r w:rsidRPr="00791C6D">
        <w:rPr>
          <w:b/>
        </w:rPr>
        <w:t>Bestia o liczbie 666</w:t>
      </w:r>
      <w:r>
        <w:t xml:space="preserve"> – ucieleśnienie zła                                                                                                                </w:t>
      </w:r>
      <w:r w:rsidRPr="00791C6D">
        <w:rPr>
          <w:b/>
        </w:rPr>
        <w:t>Siedmiogłowy Smok</w:t>
      </w:r>
      <w:r>
        <w:t xml:space="preserve"> - szatan                                                                                                                           </w:t>
      </w:r>
      <w:r w:rsidRPr="00791C6D">
        <w:rPr>
          <w:b/>
        </w:rPr>
        <w:t>Babilon</w:t>
      </w:r>
      <w:r>
        <w:t xml:space="preserve"> – zło świata                                                                                                             </w:t>
      </w:r>
      <w:r w:rsidRPr="00791C6D">
        <w:rPr>
          <w:b/>
        </w:rPr>
        <w:t>Nowe Jeruzalem</w:t>
      </w:r>
      <w:r>
        <w:t xml:space="preserve"> – obietnica Królestwa Bożego                                                                               </w:t>
      </w:r>
      <w:r w:rsidRPr="00791C6D">
        <w:rPr>
          <w:b/>
        </w:rPr>
        <w:t>Czterej jeźdźcy – Zabór, Mord, Głód i Śmierć</w:t>
      </w:r>
      <w:r>
        <w:t xml:space="preserve">; uosobienia nieszczęść wojny       (przedstawieni m.in. na drzeworycie </w:t>
      </w:r>
      <w:r>
        <w:rPr>
          <w:b/>
          <w:bCs/>
        </w:rPr>
        <w:t xml:space="preserve">Albrechta </w:t>
      </w:r>
      <w:proofErr w:type="spellStart"/>
      <w:r>
        <w:rPr>
          <w:b/>
          <w:bCs/>
        </w:rPr>
        <w:t>Dürera</w:t>
      </w:r>
      <w:proofErr w:type="spellEnd"/>
      <w:r>
        <w:t xml:space="preserve"> </w:t>
      </w:r>
      <w:r w:rsidRPr="00550657">
        <w:rPr>
          <w:b/>
        </w:rPr>
        <w:t>„</w:t>
      </w:r>
      <w:r w:rsidRPr="00550657">
        <w:rPr>
          <w:b/>
          <w:i/>
        </w:rPr>
        <w:t>Czterej jeźdźcy Apokalipsy</w:t>
      </w:r>
      <w:r w:rsidRPr="00550657">
        <w:rPr>
          <w:b/>
        </w:rPr>
        <w:t>”</w:t>
      </w:r>
      <w:r>
        <w:t xml:space="preserve">)                                         </w:t>
      </w:r>
      <w:r w:rsidRPr="00791C6D">
        <w:rPr>
          <w:b/>
        </w:rPr>
        <w:t>Siedem pieczęci</w:t>
      </w:r>
      <w:r>
        <w:t xml:space="preserve"> – największe tajemnice, dotyczące sensu dziejów ludzkości.</w:t>
      </w:r>
    </w:p>
    <w:p w:rsidR="003D77CF" w:rsidRDefault="003D77CF" w:rsidP="003D77CF">
      <w:pPr>
        <w:spacing w:line="240" w:lineRule="auto"/>
        <w:jc w:val="both"/>
        <w:rPr>
          <w:u w:val="single"/>
        </w:rPr>
      </w:pPr>
    </w:p>
    <w:p w:rsidR="003D77CF" w:rsidRPr="00791C6D" w:rsidRDefault="003D77CF" w:rsidP="003D77CF">
      <w:pPr>
        <w:spacing w:line="240" w:lineRule="auto"/>
        <w:jc w:val="both"/>
        <w:rPr>
          <w:u w:val="single"/>
        </w:rPr>
      </w:pPr>
      <w:r w:rsidRPr="00550657">
        <w:rPr>
          <w:b/>
          <w:u w:val="single"/>
        </w:rPr>
        <w:t>Apokalipsa jako gatunek literacki</w:t>
      </w:r>
      <w:r w:rsidRPr="00791C6D">
        <w:rPr>
          <w:u w:val="single"/>
        </w:rPr>
        <w:t xml:space="preserve"> charakteryzuje się:</w:t>
      </w:r>
    </w:p>
    <w:p w:rsidR="003D77CF" w:rsidRDefault="003D77CF" w:rsidP="003D77CF">
      <w:pPr>
        <w:pStyle w:val="Akapitzlist"/>
        <w:numPr>
          <w:ilvl w:val="0"/>
          <w:numId w:val="1"/>
        </w:numPr>
        <w:spacing w:line="240" w:lineRule="auto"/>
        <w:jc w:val="both"/>
      </w:pPr>
      <w:r>
        <w:t>jawnością osoby narratora, przez którego przemawia Bóg,</w:t>
      </w:r>
    </w:p>
    <w:p w:rsidR="003D77CF" w:rsidRDefault="003D77CF" w:rsidP="003D77CF">
      <w:pPr>
        <w:pStyle w:val="Akapitzlist"/>
        <w:numPr>
          <w:ilvl w:val="0"/>
          <w:numId w:val="1"/>
        </w:numPr>
        <w:spacing w:line="240" w:lineRule="auto"/>
        <w:jc w:val="both"/>
      </w:pPr>
      <w:r>
        <w:t>zapowiedzią rychłej interwencji Boga w losy świata,</w:t>
      </w:r>
    </w:p>
    <w:p w:rsidR="003D77CF" w:rsidRDefault="003D77CF" w:rsidP="003D77CF">
      <w:pPr>
        <w:pStyle w:val="Akapitzlist"/>
        <w:numPr>
          <w:ilvl w:val="0"/>
          <w:numId w:val="1"/>
        </w:numPr>
        <w:spacing w:line="240" w:lineRule="auto"/>
        <w:jc w:val="both"/>
      </w:pPr>
      <w:r>
        <w:t>niejasnym, symbolicznym językiem i wizyjnością obrazowania.</w:t>
      </w:r>
    </w:p>
    <w:p w:rsidR="003D77CF" w:rsidRDefault="003D77CF" w:rsidP="003D77CF">
      <w:pPr>
        <w:spacing w:line="240" w:lineRule="auto"/>
        <w:rPr>
          <w:u w:val="single"/>
        </w:rPr>
      </w:pPr>
    </w:p>
    <w:p w:rsidR="003D77CF" w:rsidRDefault="003D77CF" w:rsidP="003D77CF">
      <w:pPr>
        <w:spacing w:line="240" w:lineRule="auto"/>
      </w:pPr>
      <w:r w:rsidRPr="009F5393">
        <w:rPr>
          <w:u w:val="single"/>
        </w:rPr>
        <w:t>Sposoby interpretacji Apokalipsy</w:t>
      </w:r>
      <w:r>
        <w:t>:</w:t>
      </w:r>
    </w:p>
    <w:p w:rsidR="003D77CF" w:rsidRDefault="003D77CF" w:rsidP="003D77CF">
      <w:pPr>
        <w:spacing w:line="240" w:lineRule="auto"/>
      </w:pPr>
      <w:r>
        <w:t>- Autor w symbolicznym języku opowiada dotychczasowe dzieje świata i zapowiada jego koniec.</w:t>
      </w:r>
    </w:p>
    <w:p w:rsidR="003D77CF" w:rsidRDefault="003D77CF" w:rsidP="003D77CF">
      <w:pPr>
        <w:spacing w:line="240" w:lineRule="auto"/>
      </w:pPr>
      <w:r>
        <w:t>- Wizja eschatologiczna, odnosząca się do wydarzeń z końca dziejów i do ostatecznych losów człowieka zbawienia lub potępienia.</w:t>
      </w:r>
    </w:p>
    <w:p w:rsidR="003D77CF" w:rsidRDefault="003D77CF" w:rsidP="003D77CF">
      <w:pPr>
        <w:spacing w:line="240" w:lineRule="auto"/>
      </w:pPr>
      <w:r>
        <w:t>- Odniesienie do wydarzeń z czasów, w których tekst powstał (prześladowanie chrześcijan)</w:t>
      </w:r>
    </w:p>
    <w:p w:rsidR="003D77CF" w:rsidRDefault="003D77CF" w:rsidP="003D77CF">
      <w:pPr>
        <w:spacing w:line="240" w:lineRule="auto"/>
        <w:jc w:val="both"/>
      </w:pPr>
    </w:p>
    <w:p w:rsidR="003D77CF" w:rsidRDefault="003D77CF" w:rsidP="003D77CF">
      <w:pPr>
        <w:spacing w:line="240" w:lineRule="auto"/>
        <w:jc w:val="both"/>
        <w:rPr>
          <w:bCs/>
        </w:rPr>
      </w:pPr>
      <w:r>
        <w:t xml:space="preserve">Do Apokalipsy często nawiązywali artyści różnych epok, np. wspomniany wcześniej                          A. </w:t>
      </w:r>
      <w:proofErr w:type="spellStart"/>
      <w:r w:rsidRPr="009F5393">
        <w:rPr>
          <w:bCs/>
        </w:rPr>
        <w:t>Dürer</w:t>
      </w:r>
      <w:proofErr w:type="spellEnd"/>
      <w:r>
        <w:rPr>
          <w:bCs/>
        </w:rPr>
        <w:t xml:space="preserve">, czy poeta Czesław Miłosz w wierszu „Piosenka o końcu świata”. </w:t>
      </w:r>
    </w:p>
    <w:p w:rsidR="003D77CF" w:rsidRPr="00E859B4" w:rsidRDefault="003D77CF" w:rsidP="003D77CF">
      <w:pPr>
        <w:spacing w:line="240" w:lineRule="auto"/>
        <w:jc w:val="both"/>
      </w:pPr>
      <w:r w:rsidRPr="00550657">
        <w:rPr>
          <w:b/>
          <w:bCs/>
          <w:u w:val="single"/>
        </w:rPr>
        <w:t>Zadanie do samodzielnego opracowania</w:t>
      </w:r>
      <w:r>
        <w:rPr>
          <w:bCs/>
        </w:rPr>
        <w:t>: W jako sposób zobrazowany został dzień końca świata w wierszu Cz. Miłosza? Dlaczego tekst nosi tytuł i ma formę piosenki? Kim jest staruszek - ogrodnik? Jakie jest przesłanie (główna myśl) wiersza?</w:t>
      </w:r>
    </w:p>
    <w:p w:rsidR="003D77CF" w:rsidRDefault="003D77CF"/>
    <w:p w:rsidR="003D77CF" w:rsidRDefault="003D77CF"/>
    <w:p w:rsidR="003D77CF" w:rsidRDefault="003D77CF" w:rsidP="003D77CF">
      <w:pPr>
        <w:jc w:val="center"/>
        <w:rPr>
          <w:b/>
        </w:rPr>
      </w:pPr>
      <w:r w:rsidRPr="006A0882">
        <w:rPr>
          <w:b/>
        </w:rPr>
        <w:lastRenderedPageBreak/>
        <w:t>„Zaprawdę powiadam wam..” Cechy stylu biblijnego.</w:t>
      </w:r>
    </w:p>
    <w:p w:rsidR="003D77CF" w:rsidRDefault="003D77CF" w:rsidP="003D77CF">
      <w:pPr>
        <w:jc w:val="both"/>
      </w:pPr>
    </w:p>
    <w:p w:rsidR="003D77CF" w:rsidRPr="00906DD6" w:rsidRDefault="003D77CF" w:rsidP="003D77CF">
      <w:pPr>
        <w:jc w:val="both"/>
        <w:rPr>
          <w:u w:val="single"/>
        </w:rPr>
      </w:pPr>
      <w:r w:rsidRPr="00906DD6">
        <w:rPr>
          <w:u w:val="single"/>
        </w:rPr>
        <w:t>Cechy stylu biblijnego: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>posługiwanie się metaforami, symbolami, przypowieściami i alegoriami,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>słownictwo podniosłe,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 xml:space="preserve">archaizmy, np. niewiasta, żywot, 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 xml:space="preserve">inwersja (odwrócenie naturalnego porządku zdania), np. I rzekł Pan do Abrahama, 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>paralelizm składniowy (budowanie kolejnych zdań lub ich części w podobny sposób)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>anafory (powtórzenia na początku wersu) i epifory (powtórzenia na końcu),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>nagromadzenie spójników i zaimków, a (</w:t>
      </w:r>
      <w:r w:rsidRPr="00906DD6">
        <w:rPr>
          <w:i/>
        </w:rPr>
        <w:t>widział Bóg</w:t>
      </w:r>
      <w:r>
        <w:t>…), i (</w:t>
      </w:r>
      <w:r w:rsidRPr="00906DD6">
        <w:rPr>
          <w:i/>
        </w:rPr>
        <w:t>rzekł</w:t>
      </w:r>
      <w:r>
        <w:t>…), albowiem…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proofErr w:type="spellStart"/>
      <w:r>
        <w:t>biblizmy</w:t>
      </w:r>
      <w:proofErr w:type="spellEnd"/>
      <w:r>
        <w:t xml:space="preserve">, np. alleluja, zaprawdę powiadam, oblubieniec, Pan (w odniesieniu                       do Chrystusa), </w:t>
      </w:r>
      <w:proofErr w:type="spellStart"/>
      <w:r>
        <w:t>semityzmy</w:t>
      </w:r>
      <w:proofErr w:type="spellEnd"/>
      <w:r>
        <w:t xml:space="preserve"> (</w:t>
      </w:r>
      <w:proofErr w:type="spellStart"/>
      <w:r>
        <w:t>biblizmy</w:t>
      </w:r>
      <w:proofErr w:type="spellEnd"/>
      <w:r>
        <w:t xml:space="preserve"> z języków semickich), np. Jahwe, rabbi.</w:t>
      </w:r>
    </w:p>
    <w:p w:rsidR="003D77CF" w:rsidRDefault="003D77CF" w:rsidP="003D77CF">
      <w:pPr>
        <w:jc w:val="both"/>
      </w:pPr>
    </w:p>
    <w:p w:rsidR="003D77CF" w:rsidRDefault="003D77CF" w:rsidP="003D77CF">
      <w:pPr>
        <w:jc w:val="both"/>
      </w:pPr>
      <w:r w:rsidRPr="00D63492">
        <w:rPr>
          <w:b/>
        </w:rPr>
        <w:t>Stylizacja biblijna</w:t>
      </w:r>
      <w:r>
        <w:t xml:space="preserve"> – stylizacja tekstu na język biblijny, np. poprzez nadanie mu podniosłego tonu, użycie charakterystycznego słownictwa, czy budowę zdań.</w:t>
      </w:r>
    </w:p>
    <w:p w:rsidR="003D77CF" w:rsidRDefault="003D77CF" w:rsidP="003D77CF">
      <w:pPr>
        <w:jc w:val="both"/>
      </w:pPr>
      <w:proofErr w:type="spellStart"/>
      <w:r w:rsidRPr="00906DD6">
        <w:rPr>
          <w:b/>
        </w:rPr>
        <w:t>Biblizmy</w:t>
      </w:r>
      <w:proofErr w:type="spellEnd"/>
      <w:r>
        <w:t xml:space="preserve"> – związki frazeologiczne pochodzące z Biblii, np. zakazany owoc.</w:t>
      </w:r>
    </w:p>
    <w:p w:rsidR="003D77CF" w:rsidRDefault="003D77CF" w:rsidP="003D77CF">
      <w:pPr>
        <w:jc w:val="both"/>
      </w:pPr>
      <w:proofErr w:type="spellStart"/>
      <w:r w:rsidRPr="00906DD6">
        <w:rPr>
          <w:b/>
        </w:rPr>
        <w:t>Mitologizmy</w:t>
      </w:r>
      <w:proofErr w:type="spellEnd"/>
      <w:r>
        <w:t xml:space="preserve"> – związki frazeologiczne pochodzące z </w:t>
      </w:r>
      <w:proofErr w:type="spellStart"/>
      <w:r>
        <w:t>mitolologii</w:t>
      </w:r>
      <w:proofErr w:type="spellEnd"/>
      <w:r>
        <w:t>, np. syzyfowa praca.</w:t>
      </w:r>
    </w:p>
    <w:p w:rsidR="003D77CF" w:rsidRPr="00D63492" w:rsidRDefault="003D77CF" w:rsidP="003D77CF">
      <w:pPr>
        <w:jc w:val="both"/>
        <w:rPr>
          <w:u w:val="single"/>
        </w:rPr>
      </w:pPr>
    </w:p>
    <w:p w:rsidR="003D77CF" w:rsidRDefault="003D77CF" w:rsidP="003D77CF">
      <w:pPr>
        <w:jc w:val="both"/>
      </w:pPr>
      <w:r w:rsidRPr="00D63492">
        <w:rPr>
          <w:u w:val="single"/>
        </w:rPr>
        <w:t>Nawiązania do Biblii w poezji współczesnej</w:t>
      </w:r>
      <w:r>
        <w:t xml:space="preserve">: </w:t>
      </w:r>
    </w:p>
    <w:p w:rsidR="003D77CF" w:rsidRDefault="003D77CF" w:rsidP="003D77CF">
      <w:pPr>
        <w:jc w:val="both"/>
      </w:pPr>
      <w:r>
        <w:t>- „Książka” Zbigniewa Herberta,</w:t>
      </w:r>
    </w:p>
    <w:p w:rsidR="003D77CF" w:rsidRDefault="003D77CF" w:rsidP="003D77CF">
      <w:pPr>
        <w:jc w:val="both"/>
      </w:pPr>
      <w:r>
        <w:t>- „Powrót Hioba” Anny Kamieńskiej</w:t>
      </w:r>
    </w:p>
    <w:p w:rsidR="003D77CF" w:rsidRDefault="003D77CF" w:rsidP="003D77CF">
      <w:pPr>
        <w:jc w:val="both"/>
      </w:pPr>
      <w:r>
        <w:t>- „Piosenka o końcu świata” Czesława Miłosza</w:t>
      </w:r>
    </w:p>
    <w:p w:rsidR="003D77CF" w:rsidRDefault="003D77CF" w:rsidP="003D77CF">
      <w:pPr>
        <w:jc w:val="both"/>
      </w:pPr>
      <w:r>
        <w:t>(do samodzielnej lektury)</w:t>
      </w:r>
    </w:p>
    <w:p w:rsidR="003D77CF" w:rsidRDefault="003D77CF" w:rsidP="003D77CF">
      <w:pPr>
        <w:jc w:val="both"/>
      </w:pPr>
    </w:p>
    <w:p w:rsidR="003D77CF" w:rsidRDefault="003D77CF" w:rsidP="003D77CF">
      <w:pPr>
        <w:jc w:val="both"/>
      </w:pPr>
    </w:p>
    <w:p w:rsidR="003D77CF" w:rsidRDefault="003D77CF" w:rsidP="003D77CF">
      <w:pPr>
        <w:jc w:val="both"/>
      </w:pPr>
    </w:p>
    <w:p w:rsidR="003D77CF" w:rsidRDefault="003D77CF" w:rsidP="003D77CF">
      <w:pPr>
        <w:jc w:val="both"/>
      </w:pPr>
    </w:p>
    <w:p w:rsidR="003D77CF" w:rsidRDefault="003D77CF" w:rsidP="003D77CF">
      <w:pPr>
        <w:jc w:val="both"/>
      </w:pPr>
    </w:p>
    <w:p w:rsidR="003D77CF" w:rsidRDefault="003D77CF" w:rsidP="003D77CF">
      <w:pPr>
        <w:jc w:val="both"/>
      </w:pPr>
    </w:p>
    <w:p w:rsidR="003D77CF" w:rsidRDefault="003D77CF" w:rsidP="003D77CF">
      <w:pPr>
        <w:jc w:val="both"/>
      </w:pPr>
    </w:p>
    <w:p w:rsidR="003D77CF" w:rsidRDefault="003D77CF" w:rsidP="003D77CF">
      <w:r w:rsidRPr="00E94DF9">
        <w:rPr>
          <w:b/>
        </w:rPr>
        <w:lastRenderedPageBreak/>
        <w:t>Związek frazeologiczny (frazeologizm)</w:t>
      </w:r>
      <w:r>
        <w:t xml:space="preserve"> – utrwalone w użyciu połączenie dwóch lub więcej wyrazów z ustalonym znaczeniem, innym niż znaczenia wyrazów składających się na związek.</w:t>
      </w:r>
    </w:p>
    <w:p w:rsidR="003D77CF" w:rsidRDefault="003D77CF" w:rsidP="003D77CF">
      <w:r w:rsidRPr="00E94DF9">
        <w:rPr>
          <w:u w:val="single"/>
        </w:rPr>
        <w:t>Pochodzenie frazeologizmów</w:t>
      </w:r>
      <w:r>
        <w:t>:</w:t>
      </w:r>
    </w:p>
    <w:p w:rsidR="003D77CF" w:rsidRDefault="003D77CF" w:rsidP="003D77CF">
      <w:pPr>
        <w:pStyle w:val="Akapitzlist"/>
        <w:numPr>
          <w:ilvl w:val="0"/>
          <w:numId w:val="3"/>
        </w:numPr>
      </w:pPr>
      <w:r>
        <w:t xml:space="preserve">Mitologia, np. pięta achillesowa, paniczny strach, syzyfowa praca, w objęciach Morfeusza, </w:t>
      </w:r>
    </w:p>
    <w:p w:rsidR="003D77CF" w:rsidRDefault="003D77CF" w:rsidP="003D77CF">
      <w:pPr>
        <w:pStyle w:val="Akapitzlist"/>
        <w:numPr>
          <w:ilvl w:val="0"/>
          <w:numId w:val="3"/>
        </w:numPr>
      </w:pPr>
      <w:r>
        <w:t xml:space="preserve">Biblia, np. zakazany owoc, w stroju Adama, hiobowa wieść, sól ziemi, chodzić                     od Annasza  do Kajfasza, </w:t>
      </w:r>
    </w:p>
    <w:p w:rsidR="003D77CF" w:rsidRDefault="003D77CF" w:rsidP="003D77CF">
      <w:pPr>
        <w:pStyle w:val="Akapitzlist"/>
        <w:numPr>
          <w:ilvl w:val="0"/>
          <w:numId w:val="3"/>
        </w:numPr>
      </w:pPr>
      <w:r>
        <w:t>Wydarzenia historyczne, np. węzeł gordyjski, nad kimś wisi miecz Damoklesa, pójść do Canossy,</w:t>
      </w:r>
    </w:p>
    <w:p w:rsidR="003D77CF" w:rsidRDefault="003D77CF" w:rsidP="003D77CF">
      <w:pPr>
        <w:pStyle w:val="Akapitzlist"/>
        <w:numPr>
          <w:ilvl w:val="0"/>
          <w:numId w:val="3"/>
        </w:numPr>
      </w:pPr>
      <w:r>
        <w:t>Literatura, kultura, np. tajemnica Poliszynela, szara eminencja,</w:t>
      </w:r>
    </w:p>
    <w:p w:rsidR="003D77CF" w:rsidRDefault="003D77CF" w:rsidP="003D77CF">
      <w:pPr>
        <w:pStyle w:val="Akapitzlist"/>
        <w:numPr>
          <w:ilvl w:val="0"/>
          <w:numId w:val="3"/>
        </w:numPr>
      </w:pPr>
      <w:r>
        <w:t xml:space="preserve">Obserwacja przyrody, np. podrzucić kukułcze jajo, wyrastać jak grzyby po deszczu, żyć jak pies z kotem, </w:t>
      </w:r>
    </w:p>
    <w:p w:rsidR="003D77CF" w:rsidRDefault="003D77CF" w:rsidP="003D77CF">
      <w:pPr>
        <w:pStyle w:val="Akapitzlist"/>
        <w:numPr>
          <w:ilvl w:val="0"/>
          <w:numId w:val="3"/>
        </w:numPr>
      </w:pPr>
      <w:r>
        <w:t xml:space="preserve">Obserwacja świata, np. walić głową mur, języczek u wagi, mieć węża w kieszeni, </w:t>
      </w:r>
    </w:p>
    <w:p w:rsidR="003D77CF" w:rsidRDefault="003D77CF" w:rsidP="003D77CF">
      <w:pPr>
        <w:pStyle w:val="Akapitzlist"/>
      </w:pPr>
    </w:p>
    <w:p w:rsidR="003D77CF" w:rsidRDefault="003D77CF" w:rsidP="003D77CF">
      <w:pPr>
        <w:jc w:val="both"/>
      </w:pPr>
      <w:r w:rsidRPr="00E94DF9">
        <w:rPr>
          <w:b/>
        </w:rPr>
        <w:t>Przysłowia</w:t>
      </w:r>
      <w:r>
        <w:t xml:space="preserve"> – mają stałą formę i całościowe znaczenie oraz postać zdania gotowego                          do użycia w tekście. </w:t>
      </w:r>
    </w:p>
    <w:p w:rsidR="003D77CF" w:rsidRDefault="003D77CF" w:rsidP="003D77CF">
      <w:r>
        <w:t>np. Jak Kuba Bogu, tak Bóg Kubie.                                                                                                                          Mowa jest srebrem, a milczenie zlotem.                                                                                                     Modli się pod figurą, a diabła ma za skórą.</w:t>
      </w:r>
    </w:p>
    <w:p w:rsidR="003D77CF" w:rsidRDefault="003D77CF" w:rsidP="003D77CF">
      <w:r w:rsidRPr="006A57EC">
        <w:rPr>
          <w:b/>
        </w:rPr>
        <w:t xml:space="preserve">Skrzydlate słowa </w:t>
      </w:r>
      <w:r>
        <w:t xml:space="preserve">– cytaty, które funkcjonują samodzielnie w języku i kulturze, ale ich pochodzenie można ustalić. </w:t>
      </w:r>
    </w:p>
    <w:p w:rsidR="003D77CF" w:rsidRDefault="003D77CF" w:rsidP="003D77CF">
      <w:r>
        <w:t xml:space="preserve">Np. Szukajcie, a znajdziecie.     Nie </w:t>
      </w:r>
      <w:proofErr w:type="spellStart"/>
      <w:r>
        <w:t>chcem</w:t>
      </w:r>
      <w:proofErr w:type="spellEnd"/>
      <w:r>
        <w:t xml:space="preserve">, ale </w:t>
      </w:r>
      <w:proofErr w:type="spellStart"/>
      <w:r>
        <w:t>muszem</w:t>
      </w:r>
      <w:proofErr w:type="spellEnd"/>
      <w:r>
        <w:t>.                                                                                                       szlachetne zdrowie , globalna wioska…</w:t>
      </w:r>
    </w:p>
    <w:p w:rsidR="003D77CF" w:rsidRDefault="003D77CF" w:rsidP="003D77CF">
      <w:r w:rsidRPr="007F14AA">
        <w:rPr>
          <w:u w:val="single"/>
        </w:rPr>
        <w:t>Błąd frazeologiczny – deformacja znaczeń związku frazeologicznego</w:t>
      </w:r>
      <w:r>
        <w:t>.</w:t>
      </w:r>
    </w:p>
    <w:p w:rsidR="003D77CF" w:rsidRDefault="003D77CF" w:rsidP="003D77CF">
      <w:r>
        <w:t xml:space="preserve">- Dodawanie zbędnych wyrazów, np. </w:t>
      </w:r>
      <w:r w:rsidRPr="007F14AA">
        <w:rPr>
          <w:i/>
        </w:rPr>
        <w:t>prawdziwie bajońskie sumy</w:t>
      </w:r>
      <w:r>
        <w:t xml:space="preserve"> zamiast </w:t>
      </w:r>
      <w:r w:rsidRPr="007F14AA">
        <w:rPr>
          <w:i/>
        </w:rPr>
        <w:t>bajońskie sumy</w:t>
      </w:r>
      <w:r>
        <w:t xml:space="preserve">,  </w:t>
      </w:r>
    </w:p>
    <w:p w:rsidR="003D77CF" w:rsidRDefault="003D77CF" w:rsidP="003D77CF">
      <w:r>
        <w:t xml:space="preserve">- Usuwanie wyrazów wchodzących w skład związku, np. </w:t>
      </w:r>
      <w:r w:rsidRPr="007F14AA">
        <w:rPr>
          <w:i/>
        </w:rPr>
        <w:t>zalał sadła</w:t>
      </w:r>
      <w:r>
        <w:t xml:space="preserve"> zamiast </w:t>
      </w:r>
      <w:r>
        <w:rPr>
          <w:i/>
        </w:rPr>
        <w:t>zalał sadła                   za skórę</w:t>
      </w:r>
      <w:r>
        <w:t>,</w:t>
      </w:r>
    </w:p>
    <w:p w:rsidR="003D77CF" w:rsidRDefault="003D77CF" w:rsidP="003D77CF">
      <w:r>
        <w:t xml:space="preserve">- Zła forma wyrazu, np. </w:t>
      </w:r>
      <w:r w:rsidRPr="007F14AA">
        <w:rPr>
          <w:i/>
        </w:rPr>
        <w:t>zaciągnąć języka</w:t>
      </w:r>
      <w:r>
        <w:t xml:space="preserve"> zamiast </w:t>
      </w:r>
      <w:r w:rsidRPr="007F14AA">
        <w:rPr>
          <w:i/>
        </w:rPr>
        <w:t>zasięgnąć języka</w:t>
      </w:r>
      <w:r>
        <w:t>,</w:t>
      </w:r>
    </w:p>
    <w:p w:rsidR="003D77CF" w:rsidRDefault="003D77CF" w:rsidP="003D77CF">
      <w:pPr>
        <w:rPr>
          <w:i/>
        </w:rPr>
      </w:pPr>
      <w:r>
        <w:t xml:space="preserve">- Kontaminacja (połączenie) dwóch frazeologizmów, np. </w:t>
      </w:r>
      <w:r w:rsidRPr="007F14AA">
        <w:rPr>
          <w:i/>
        </w:rPr>
        <w:t>pójść gdzie pieprz rośnie</w:t>
      </w:r>
      <w:r>
        <w:t xml:space="preserve">   zamiast </w:t>
      </w:r>
      <w:r w:rsidRPr="007F14AA">
        <w:rPr>
          <w:i/>
        </w:rPr>
        <w:t>uciekać gdzie pieprz rośnie</w:t>
      </w:r>
      <w:r>
        <w:rPr>
          <w:i/>
        </w:rPr>
        <w:t>.</w:t>
      </w:r>
    </w:p>
    <w:p w:rsidR="003D77CF" w:rsidRDefault="003D77CF" w:rsidP="003D77CF">
      <w:pPr>
        <w:rPr>
          <w:i/>
        </w:rPr>
      </w:pPr>
    </w:p>
    <w:p w:rsidR="003D77CF" w:rsidRPr="00A943A8" w:rsidRDefault="003D77CF" w:rsidP="003D77CF">
      <w:pPr>
        <w:rPr>
          <w:u w:val="single"/>
        </w:rPr>
      </w:pPr>
      <w:r w:rsidRPr="00A943A8">
        <w:rPr>
          <w:u w:val="single"/>
        </w:rPr>
        <w:t>Praca samodzielna: Proszę wykonać ćwiczenia ze str. 128.</w:t>
      </w:r>
    </w:p>
    <w:p w:rsidR="003D77CF" w:rsidRDefault="003D77CF" w:rsidP="003D77CF">
      <w:pPr>
        <w:jc w:val="both"/>
      </w:pPr>
    </w:p>
    <w:p w:rsidR="003D77CF" w:rsidRDefault="008A32F7" w:rsidP="003D77CF">
      <w:pPr>
        <w:jc w:val="both"/>
      </w:pPr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1" name="Obraz 1" descr="C:\Users\COOL\Desktop\Związki frazeologiczne - ćwiczen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Związki frazeologiczne - ćwiczenia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7CF" w:rsidRDefault="003D77CF"/>
    <w:p w:rsidR="008A32F7" w:rsidRDefault="008A32F7" w:rsidP="008A32F7">
      <w:pPr>
        <w:rPr>
          <w:b/>
        </w:rPr>
      </w:pPr>
    </w:p>
    <w:p w:rsidR="008A32F7" w:rsidRDefault="008A32F7" w:rsidP="00386BBB">
      <w:pPr>
        <w:jc w:val="both"/>
      </w:pPr>
      <w:r w:rsidRPr="00C52963">
        <w:rPr>
          <w:b/>
        </w:rPr>
        <w:lastRenderedPageBreak/>
        <w:t xml:space="preserve">Średniowiecze </w:t>
      </w:r>
      <w:r>
        <w:t xml:space="preserve"> (wieki średnie) – ramy czasowe V-XV w. (Europa), X-XV w. (Polska)</w:t>
      </w:r>
    </w:p>
    <w:p w:rsidR="008A32F7" w:rsidRDefault="008A32F7" w:rsidP="00386BBB">
      <w:pPr>
        <w:jc w:val="both"/>
      </w:pPr>
      <w:r w:rsidRPr="00C52963">
        <w:rPr>
          <w:b/>
        </w:rPr>
        <w:t xml:space="preserve">Teocentryzm </w:t>
      </w:r>
      <w:r>
        <w:t>– w centrum zainteresowania – Bóg.</w:t>
      </w:r>
    </w:p>
    <w:p w:rsidR="008A32F7" w:rsidRDefault="008A32F7" w:rsidP="00386BBB">
      <w:pPr>
        <w:jc w:val="both"/>
      </w:pPr>
      <w:r w:rsidRPr="00C52963">
        <w:rPr>
          <w:b/>
        </w:rPr>
        <w:t xml:space="preserve">Dualizm </w:t>
      </w:r>
      <w:r>
        <w:t xml:space="preserve">– podział świata na sferę sacrum i </w:t>
      </w:r>
      <w:proofErr w:type="spellStart"/>
      <w:r>
        <w:t>profanum</w:t>
      </w:r>
      <w:proofErr w:type="spellEnd"/>
      <w:r>
        <w:t>.</w:t>
      </w:r>
    </w:p>
    <w:p w:rsidR="008A32F7" w:rsidRDefault="008A32F7" w:rsidP="00386BBB">
      <w:pPr>
        <w:jc w:val="both"/>
      </w:pPr>
      <w:r w:rsidRPr="00C52963">
        <w:rPr>
          <w:b/>
        </w:rPr>
        <w:t>Uniwersalizm</w:t>
      </w:r>
      <w:r>
        <w:t xml:space="preserve"> średniowiecznej Europy – jedna religia (chrześcijaństwo), jeden język (łacina), wspólne wzorce.</w:t>
      </w:r>
    </w:p>
    <w:p w:rsidR="008A32F7" w:rsidRDefault="008A32F7" w:rsidP="00386BBB">
      <w:pPr>
        <w:jc w:val="both"/>
      </w:pPr>
      <w:r>
        <w:t>Symbole średniowieczne – krzyż (duchowieństwo) i miecz (rycerstwo)</w:t>
      </w:r>
    </w:p>
    <w:p w:rsidR="008A32F7" w:rsidRDefault="008A32F7" w:rsidP="00386BBB">
      <w:pPr>
        <w:jc w:val="both"/>
      </w:pPr>
      <w:r>
        <w:t>Filozofowie – św. Augustyn, św. Tomasz z Akwinu, św. Franciszek.</w:t>
      </w:r>
    </w:p>
    <w:p w:rsidR="008A32F7" w:rsidRDefault="008A32F7" w:rsidP="00386BBB">
      <w:pPr>
        <w:jc w:val="both"/>
      </w:pPr>
      <w:r>
        <w:t>Sztuka – styl romański i styl gotycki.</w:t>
      </w:r>
    </w:p>
    <w:p w:rsidR="008A32F7" w:rsidRDefault="008A32F7" w:rsidP="00386BBB">
      <w:pPr>
        <w:jc w:val="both"/>
        <w:rPr>
          <w:u w:val="single"/>
        </w:rPr>
      </w:pPr>
    </w:p>
    <w:p w:rsidR="008A32F7" w:rsidRDefault="008A32F7" w:rsidP="00386BBB">
      <w:pPr>
        <w:jc w:val="both"/>
      </w:pPr>
      <w:r w:rsidRPr="00C52963">
        <w:rPr>
          <w:u w:val="single"/>
        </w:rPr>
        <w:t>Cechy literatury średniowiecznej</w:t>
      </w:r>
      <w:r>
        <w:t>:</w:t>
      </w:r>
    </w:p>
    <w:p w:rsidR="008A32F7" w:rsidRDefault="008A32F7" w:rsidP="00386BBB">
      <w:pPr>
        <w:jc w:val="both"/>
      </w:pPr>
      <w:r>
        <w:t>- religijna,</w:t>
      </w:r>
    </w:p>
    <w:p w:rsidR="008A32F7" w:rsidRDefault="008A32F7" w:rsidP="00386BBB">
      <w:pPr>
        <w:jc w:val="both"/>
      </w:pPr>
      <w:r>
        <w:t>- dydaktyczna (uczy, jak żyć, by osiągnąć zbawienie),</w:t>
      </w:r>
    </w:p>
    <w:p w:rsidR="008A32F7" w:rsidRDefault="008A32F7" w:rsidP="00386BBB">
      <w:pPr>
        <w:jc w:val="both"/>
      </w:pPr>
      <w:r>
        <w:t>- parenetyczna (wskazuje wzorce do naśladowania),</w:t>
      </w:r>
    </w:p>
    <w:p w:rsidR="008A32F7" w:rsidRDefault="008A32F7" w:rsidP="00386BBB">
      <w:pPr>
        <w:jc w:val="both"/>
      </w:pPr>
      <w:r>
        <w:t>- anonimowa („Na większą chwałę Boga”),</w:t>
      </w:r>
    </w:p>
    <w:p w:rsidR="008A32F7" w:rsidRDefault="008A32F7" w:rsidP="00386BBB">
      <w:pPr>
        <w:jc w:val="both"/>
      </w:pPr>
      <w:r>
        <w:t>- uniwersalna (większość utworów w j. łacińskim),</w:t>
      </w:r>
    </w:p>
    <w:p w:rsidR="008A32F7" w:rsidRDefault="008A32F7" w:rsidP="00386BBB">
      <w:pPr>
        <w:jc w:val="both"/>
      </w:pPr>
      <w:r>
        <w:t>- alegoryczna.</w:t>
      </w:r>
    </w:p>
    <w:p w:rsidR="008A32F7" w:rsidRDefault="008A32F7" w:rsidP="00386BBB">
      <w:pPr>
        <w:jc w:val="both"/>
      </w:pPr>
      <w:r w:rsidRPr="00C52963">
        <w:rPr>
          <w:u w:val="single"/>
        </w:rPr>
        <w:t xml:space="preserve">Wzorce </w:t>
      </w:r>
      <w:r>
        <w:rPr>
          <w:u w:val="single"/>
        </w:rPr>
        <w:t xml:space="preserve">(ideały) </w:t>
      </w:r>
      <w:r w:rsidRPr="00C52963">
        <w:rPr>
          <w:u w:val="single"/>
        </w:rPr>
        <w:t>osobowe</w:t>
      </w:r>
      <w:r>
        <w:t>:</w:t>
      </w:r>
    </w:p>
    <w:p w:rsidR="008A32F7" w:rsidRDefault="008A32F7" w:rsidP="00386BBB">
      <w:pPr>
        <w:jc w:val="both"/>
      </w:pPr>
      <w:r>
        <w:t xml:space="preserve">- święty </w:t>
      </w:r>
      <w:r w:rsidRPr="00C52963">
        <w:rPr>
          <w:b/>
        </w:rPr>
        <w:t>asceta</w:t>
      </w:r>
      <w:r>
        <w:t xml:space="preserve"> – wyrzeka się dóbr doczesnych, poświęca życie na modlitwę i służbę Bogu, znosi wszelkie niedogodności i upokorzenia, żyje w aurze świętości. (np. św. Aleksy),</w:t>
      </w:r>
    </w:p>
    <w:p w:rsidR="008A32F7" w:rsidRDefault="008A32F7" w:rsidP="00386BBB">
      <w:pPr>
        <w:jc w:val="both"/>
      </w:pPr>
      <w:r>
        <w:t xml:space="preserve">- </w:t>
      </w:r>
      <w:r w:rsidRPr="00192696">
        <w:rPr>
          <w:b/>
        </w:rPr>
        <w:t>rycerz</w:t>
      </w:r>
      <w:r>
        <w:t xml:space="preserve"> – odważny, waleczny, honorowy, wierny Bogu, władcy i ojczyźnie, gotów do walki                   i poświęcenia życia w obronie wiary, króla, ojczyzny i honoru. (np. Roland, Tristan),</w:t>
      </w:r>
    </w:p>
    <w:p w:rsidR="008A32F7" w:rsidRDefault="008A32F7" w:rsidP="00386BBB">
      <w:pPr>
        <w:jc w:val="both"/>
      </w:pPr>
      <w:r>
        <w:t xml:space="preserve">- </w:t>
      </w:r>
      <w:r w:rsidRPr="00192696">
        <w:rPr>
          <w:b/>
        </w:rPr>
        <w:t>władca</w:t>
      </w:r>
      <w:r>
        <w:t xml:space="preserve"> – mądry, dobry, sprawiedliwy, opiekuńczy, autorytet dla poddanych, pobożny patriota troszczący się o kraj i poddanych, obrońca wiary. (np. Karol Wielki, Bolesław Chrobry)</w:t>
      </w:r>
    </w:p>
    <w:p w:rsidR="008A32F7" w:rsidRDefault="008A32F7" w:rsidP="00386BBB">
      <w:pPr>
        <w:jc w:val="both"/>
        <w:rPr>
          <w:u w:val="single"/>
        </w:rPr>
      </w:pPr>
      <w:r w:rsidRPr="00192696">
        <w:rPr>
          <w:u w:val="single"/>
        </w:rPr>
        <w:t>Motyw śmierci w literaturze i sztuce średniowiecza.</w:t>
      </w:r>
    </w:p>
    <w:p w:rsidR="008A32F7" w:rsidRPr="00192696" w:rsidRDefault="008A32F7" w:rsidP="00386BBB">
      <w:pPr>
        <w:jc w:val="both"/>
      </w:pPr>
      <w:r w:rsidRPr="00192696">
        <w:t xml:space="preserve">- </w:t>
      </w:r>
      <w:r w:rsidRPr="00192696">
        <w:rPr>
          <w:b/>
        </w:rPr>
        <w:t xml:space="preserve">Dance </w:t>
      </w:r>
      <w:proofErr w:type="spellStart"/>
      <w:r w:rsidRPr="00192696">
        <w:rPr>
          <w:b/>
        </w:rPr>
        <w:t>macabre</w:t>
      </w:r>
      <w:proofErr w:type="spellEnd"/>
      <w:r w:rsidRPr="00192696">
        <w:t xml:space="preserve"> (taniec śmierci) – w malarstwie przedstawi</w:t>
      </w:r>
      <w:r>
        <w:t>ano taneczny korowód,                           do którego śmierć (przedstawiana jako kościotrup z kosą) porywa ludzi wszystkich stanów – duchowieństwo (papież, biskupi, mnisi), możnowładców (królowie, książęta, damy), mieszczan, chłopów i żebraków. Wszyscy wobec śmierci są równi, nikogo ona nie oszczędza.</w:t>
      </w:r>
    </w:p>
    <w:p w:rsidR="008A32F7" w:rsidRDefault="008A32F7" w:rsidP="00386BBB">
      <w:pPr>
        <w:jc w:val="both"/>
      </w:pPr>
      <w:r>
        <w:t xml:space="preserve">- W literaturze (np. „Rozmowa Mistrza Polikarpa ze śmiercią) przedstawiana jako ohydna postać kobieca (ciało w rozkładzie) z kosą, wzbudzająca </w:t>
      </w:r>
      <w:proofErr w:type="spellStart"/>
      <w:r>
        <w:t>lęk;podkreśla</w:t>
      </w:r>
      <w:proofErr w:type="spellEnd"/>
      <w:r>
        <w:t xml:space="preserve"> powszechność śmierci.</w:t>
      </w:r>
    </w:p>
    <w:p w:rsidR="008A32F7" w:rsidRPr="00766B3D" w:rsidRDefault="008A32F7" w:rsidP="008A32F7">
      <w:pPr>
        <w:rPr>
          <w:b/>
        </w:rPr>
      </w:pPr>
      <w:r w:rsidRPr="00766B3D">
        <w:rPr>
          <w:b/>
        </w:rPr>
        <w:lastRenderedPageBreak/>
        <w:t xml:space="preserve">                                     1) </w:t>
      </w:r>
      <w:r w:rsidRPr="00766B3D">
        <w:rPr>
          <w:b/>
          <w:u w:val="single"/>
        </w:rPr>
        <w:t>Hierarchia i pośrednictwo w „Bogurodzicy”.</w:t>
      </w:r>
    </w:p>
    <w:p w:rsidR="008A32F7" w:rsidRPr="00766B3D" w:rsidRDefault="008A32F7" w:rsidP="008A32F7">
      <w:pPr>
        <w:jc w:val="center"/>
        <w:rPr>
          <w:b/>
          <w:u w:val="single"/>
        </w:rPr>
      </w:pPr>
      <w:r>
        <w:rPr>
          <w:b/>
        </w:rPr>
        <w:t xml:space="preserve">    </w:t>
      </w:r>
      <w:r w:rsidRPr="00766B3D">
        <w:rPr>
          <w:b/>
        </w:rPr>
        <w:t xml:space="preserve">2) </w:t>
      </w:r>
      <w:r w:rsidRPr="00766B3D">
        <w:rPr>
          <w:b/>
          <w:u w:val="single"/>
        </w:rPr>
        <w:t>„Bogurodzica” jako zabytek języka polskiego.</w:t>
      </w:r>
    </w:p>
    <w:p w:rsidR="008A32F7" w:rsidRDefault="008A32F7" w:rsidP="00386BBB">
      <w:pPr>
        <w:jc w:val="both"/>
      </w:pPr>
      <w:r w:rsidRPr="005D5715">
        <w:t xml:space="preserve">Ad. 1 </w:t>
      </w:r>
      <w:r>
        <w:t xml:space="preserve"> W średniowieczu wierni nie zwracali się do Boga bezpośrednio, lecz modlili się                                      za pośrednictwem osób świętych. Poniższy schemat obrazuje </w:t>
      </w:r>
      <w:r w:rsidRPr="00811A35">
        <w:rPr>
          <w:b/>
        </w:rPr>
        <w:t>hierarchiczną wizję świata</w:t>
      </w:r>
      <w:r>
        <w:t>.</w:t>
      </w:r>
    </w:p>
    <w:p w:rsidR="008A32F7" w:rsidRDefault="008A32F7" w:rsidP="00386BBB">
      <w:pPr>
        <w:jc w:val="both"/>
      </w:pPr>
      <w:r>
        <w:t xml:space="preserve">                                                       Bóg </w:t>
      </w:r>
    </w:p>
    <w:p w:rsidR="008A32F7" w:rsidRDefault="008A32F7" w:rsidP="00386BBB">
      <w:pPr>
        <w:jc w:val="both"/>
      </w:pPr>
      <w:r>
        <w:t xml:space="preserve">                              Maryja                                   osoby święte</w:t>
      </w:r>
    </w:p>
    <w:p w:rsidR="008A32F7" w:rsidRDefault="008A32F7" w:rsidP="00386BBB">
      <w:pPr>
        <w:jc w:val="both"/>
      </w:pPr>
      <w:r>
        <w:t xml:space="preserve">                                                      wierni</w:t>
      </w:r>
    </w:p>
    <w:p w:rsidR="008A32F7" w:rsidRDefault="008A32F7" w:rsidP="00386BBB">
      <w:pPr>
        <w:jc w:val="both"/>
      </w:pPr>
      <w:r>
        <w:t xml:space="preserve">Podmiotem lirycznym w pieśni są ludzie wierzący, którzy </w:t>
      </w:r>
      <w:r w:rsidRPr="00811A35">
        <w:rPr>
          <w:u w:val="single"/>
        </w:rPr>
        <w:t>za pośrednictwem</w:t>
      </w:r>
      <w:r>
        <w:t xml:space="preserve"> Matki Bożej                       i Jana Chrzciciela zanoszą prośby o dobre życie na ziemi („na ziemi zbożny pobyt”)                                  oraz zbawienie po śmierci („po żywocie rajski </w:t>
      </w:r>
      <w:proofErr w:type="spellStart"/>
      <w:r>
        <w:t>przebyt</w:t>
      </w:r>
      <w:proofErr w:type="spellEnd"/>
      <w:r>
        <w:t>”). Wiersz zaczyna się apostrofą                       do Maryi jako istoty wybranej przez Boga, obdarzonej szczególną łaską, a jednocześnie rozumiejącą ludzi i ich troski. Wierni proszą, by Bogurodzica wyjednała im łaskę                                 i przychylność swojego Syna.</w:t>
      </w:r>
    </w:p>
    <w:p w:rsidR="008A32F7" w:rsidRDefault="008A32F7" w:rsidP="00386BBB">
      <w:pPr>
        <w:jc w:val="both"/>
      </w:pPr>
      <w:r>
        <w:t xml:space="preserve"> </w:t>
      </w:r>
      <w:r w:rsidRPr="00811A35">
        <w:rPr>
          <w:b/>
        </w:rPr>
        <w:t>Motyw pośrednictwa (</w:t>
      </w:r>
      <w:proofErr w:type="spellStart"/>
      <w:r w:rsidRPr="00811A35">
        <w:rPr>
          <w:b/>
        </w:rPr>
        <w:t>deesis</w:t>
      </w:r>
      <w:proofErr w:type="spellEnd"/>
      <w:r w:rsidRPr="00811A35">
        <w:rPr>
          <w:b/>
        </w:rPr>
        <w:t>)</w:t>
      </w:r>
      <w:r>
        <w:t xml:space="preserve"> ukazywany był także w ikonografii (trzy postacie; w centrum Chrystus, a po bokach z obu stron Maryja i Jan Ch</w:t>
      </w:r>
      <w:r w:rsidR="00386BBB">
        <w:t>rz</w:t>
      </w:r>
      <w:r>
        <w:t>ciciel w pozach modlitewnych)</w:t>
      </w:r>
    </w:p>
    <w:p w:rsidR="008A32F7" w:rsidRDefault="008A32F7" w:rsidP="00386BBB">
      <w:pPr>
        <w:jc w:val="both"/>
      </w:pPr>
      <w:r>
        <w:t xml:space="preserve">                                                     Chrystus </w:t>
      </w:r>
    </w:p>
    <w:p w:rsidR="008A32F7" w:rsidRDefault="00386BBB" w:rsidP="00386BBB">
      <w:pPr>
        <w:spacing w:line="240" w:lineRule="auto"/>
        <w:jc w:val="both"/>
      </w:pPr>
      <w:r>
        <w:t xml:space="preserve">                   </w:t>
      </w:r>
      <w:r w:rsidR="008A32F7">
        <w:t xml:space="preserve"> Bogurodzica </w:t>
      </w:r>
      <w:r w:rsidR="008A32F7" w:rsidRPr="00811A35">
        <w:rPr>
          <w:sz w:val="20"/>
          <w:szCs w:val="20"/>
        </w:rPr>
        <w:t>(Matka Boga)</w:t>
      </w:r>
      <w:r w:rsidR="008A32F7">
        <w:rPr>
          <w:sz w:val="20"/>
          <w:szCs w:val="20"/>
        </w:rPr>
        <w:t xml:space="preserve">            </w:t>
      </w:r>
      <w:r w:rsidR="008A32F7">
        <w:t xml:space="preserve"> Jan Chrzciciel</w:t>
      </w:r>
    </w:p>
    <w:p w:rsidR="008A32F7" w:rsidRDefault="008A32F7" w:rsidP="00386BBB">
      <w:pPr>
        <w:jc w:val="both"/>
      </w:pPr>
      <w:r>
        <w:t xml:space="preserve">                                                      wierni      </w:t>
      </w:r>
    </w:p>
    <w:p w:rsidR="008A32F7" w:rsidRDefault="008A32F7" w:rsidP="00386BBB">
      <w:pPr>
        <w:jc w:val="both"/>
      </w:pPr>
      <w:r>
        <w:t xml:space="preserve">Ad. 2   „Bogurodzica” to najstarsza zachowana pieśń religijna w języku polskim.                         Powstała najprawdopodobniej w XIII w. Była uznawana za hymn narodowy (pieśń bojowa rycerstwa polskiego). Ma budowę stroficzną, kunsztowne rymy, litanijny refren. </w:t>
      </w:r>
    </w:p>
    <w:p w:rsidR="008A32F7" w:rsidRDefault="008A32F7" w:rsidP="00386BBB">
      <w:pPr>
        <w:jc w:val="both"/>
      </w:pPr>
      <w:r>
        <w:t xml:space="preserve">Pieśń jest arcydziełem literatury polskiej ze względu na uniwersalność, ponadczasową treść, mistrzostwo i oryginalność artystyczną. Odwoływali się do niej twórcy późniejszych epok (np. H. Sienkiewicz „Krzyżacy”, J. Słowacki „Hymn”, K.K. Baczyński „Modlitwa do Bogarodzicy”). </w:t>
      </w:r>
    </w:p>
    <w:p w:rsidR="008A32F7" w:rsidRDefault="008A32F7" w:rsidP="00386BBB">
      <w:pPr>
        <w:jc w:val="both"/>
      </w:pPr>
      <w:r>
        <w:t xml:space="preserve">„Bogurodzica” jest też zabytkiem języka polskiego – jednym z pierwszych tekstów zapisanych w j. ojczystym. Zawiera liczne </w:t>
      </w:r>
      <w:r w:rsidRPr="00CD2B36">
        <w:rPr>
          <w:b/>
        </w:rPr>
        <w:t>archaizmy</w:t>
      </w:r>
      <w:r>
        <w:t>:</w:t>
      </w:r>
    </w:p>
    <w:p w:rsidR="008A32F7" w:rsidRDefault="008A32F7" w:rsidP="00386BBB">
      <w:pPr>
        <w:jc w:val="both"/>
      </w:pPr>
      <w:r>
        <w:t xml:space="preserve">- leksykalne (wyrazy, które wyszły z użycia) , np. Bogurodzica, </w:t>
      </w:r>
      <w:proofErr w:type="spellStart"/>
      <w:r>
        <w:t>Bożyc</w:t>
      </w:r>
      <w:proofErr w:type="spellEnd"/>
      <w:r>
        <w:t xml:space="preserve">, </w:t>
      </w:r>
      <w:proofErr w:type="spellStart"/>
      <w:r>
        <w:t>zwolena</w:t>
      </w:r>
      <w:proofErr w:type="spellEnd"/>
      <w:r>
        <w:t xml:space="preserve">, </w:t>
      </w:r>
      <w:proofErr w:type="spellStart"/>
      <w:r>
        <w:t>dziela</w:t>
      </w:r>
      <w:proofErr w:type="spellEnd"/>
      <w:r>
        <w:t>,</w:t>
      </w:r>
    </w:p>
    <w:p w:rsidR="008A32F7" w:rsidRDefault="008A32F7" w:rsidP="00386BBB">
      <w:pPr>
        <w:jc w:val="both"/>
      </w:pPr>
      <w:r>
        <w:t xml:space="preserve">- fonetyczne (brzmieniowe), np. </w:t>
      </w:r>
      <w:proofErr w:type="spellStart"/>
      <w:r>
        <w:t>Krzciciela</w:t>
      </w:r>
      <w:proofErr w:type="spellEnd"/>
      <w:r>
        <w:t xml:space="preserve"> (Chrzciciela), </w:t>
      </w:r>
      <w:proofErr w:type="spellStart"/>
      <w:r>
        <w:t>sławiena</w:t>
      </w:r>
      <w:proofErr w:type="spellEnd"/>
      <w:r>
        <w:t xml:space="preserve"> (sławiona),</w:t>
      </w:r>
    </w:p>
    <w:p w:rsidR="008A32F7" w:rsidRDefault="008A32F7" w:rsidP="00386BBB">
      <w:pPr>
        <w:jc w:val="both"/>
      </w:pPr>
      <w:r>
        <w:t>- fleksyjne (inna odmiana), np. Bogurodzica Dziewica, Maryja (Bogurodzico, Dziewico…)</w:t>
      </w:r>
    </w:p>
    <w:p w:rsidR="008A32F7" w:rsidRDefault="008A32F7" w:rsidP="00386BBB">
      <w:pPr>
        <w:jc w:val="both"/>
      </w:pPr>
      <w:r>
        <w:t xml:space="preserve">- składniowe (inna budowa zdań), np. Bogiem </w:t>
      </w:r>
      <w:proofErr w:type="spellStart"/>
      <w:r>
        <w:t>sławiena</w:t>
      </w:r>
      <w:proofErr w:type="spellEnd"/>
      <w:r>
        <w:t xml:space="preserve"> (przez Boga sławiona,</w:t>
      </w:r>
    </w:p>
    <w:p w:rsidR="008A32F7" w:rsidRDefault="008A32F7" w:rsidP="00386BBB">
      <w:pPr>
        <w:jc w:val="both"/>
      </w:pPr>
      <w:r>
        <w:t xml:space="preserve">- semantyczne (wyrazy o innym znaczeniu niż współcześnie), np. </w:t>
      </w:r>
      <w:proofErr w:type="spellStart"/>
      <w:r>
        <w:t>npełń</w:t>
      </w:r>
      <w:proofErr w:type="spellEnd"/>
      <w:r>
        <w:t xml:space="preserve"> myśli (spełnij pragnienia)</w:t>
      </w:r>
    </w:p>
    <w:sectPr w:rsidR="008A32F7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C43" w:rsidRDefault="00361C43" w:rsidP="003D77CF">
      <w:pPr>
        <w:spacing w:after="0" w:line="240" w:lineRule="auto"/>
      </w:pPr>
      <w:r>
        <w:separator/>
      </w:r>
    </w:p>
  </w:endnote>
  <w:endnote w:type="continuationSeparator" w:id="0">
    <w:p w:rsidR="00361C43" w:rsidRDefault="00361C43" w:rsidP="003D7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C43" w:rsidRDefault="00361C43" w:rsidP="003D77CF">
      <w:pPr>
        <w:spacing w:after="0" w:line="240" w:lineRule="auto"/>
      </w:pPr>
      <w:r>
        <w:separator/>
      </w:r>
    </w:p>
  </w:footnote>
  <w:footnote w:type="continuationSeparator" w:id="0">
    <w:p w:rsidR="00361C43" w:rsidRDefault="00361C43" w:rsidP="003D77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B4796"/>
    <w:multiLevelType w:val="hybridMultilevel"/>
    <w:tmpl w:val="EDC05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531A02"/>
    <w:multiLevelType w:val="hybridMultilevel"/>
    <w:tmpl w:val="CC72E5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C61F0A"/>
    <w:multiLevelType w:val="hybridMultilevel"/>
    <w:tmpl w:val="05D8A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3221"/>
    <w:rsid w:val="00161A96"/>
    <w:rsid w:val="002C04EB"/>
    <w:rsid w:val="00361C43"/>
    <w:rsid w:val="00386BBB"/>
    <w:rsid w:val="003D77CF"/>
    <w:rsid w:val="00583221"/>
    <w:rsid w:val="006549D5"/>
    <w:rsid w:val="00711D7A"/>
    <w:rsid w:val="007227F8"/>
    <w:rsid w:val="00725E47"/>
    <w:rsid w:val="008A32F7"/>
    <w:rsid w:val="00B24919"/>
    <w:rsid w:val="00B72265"/>
    <w:rsid w:val="00B74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221"/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8322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3D7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77CF"/>
    <w:rPr>
      <w:rFonts w:eastAsia="Calibri"/>
    </w:rPr>
  </w:style>
  <w:style w:type="paragraph" w:styleId="Stopka">
    <w:name w:val="footer"/>
    <w:basedOn w:val="Normalny"/>
    <w:link w:val="StopkaZnak"/>
    <w:uiPriority w:val="99"/>
    <w:semiHidden/>
    <w:unhideWhenUsed/>
    <w:rsid w:val="003D7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D77CF"/>
    <w:rPr>
      <w:rFonts w:eastAsia="Calibri"/>
    </w:rPr>
  </w:style>
  <w:style w:type="paragraph" w:styleId="Akapitzlist">
    <w:name w:val="List Paragraph"/>
    <w:basedOn w:val="Normalny"/>
    <w:uiPriority w:val="34"/>
    <w:qFormat/>
    <w:rsid w:val="003D77CF"/>
    <w:pPr>
      <w:ind w:left="720"/>
      <w:contextualSpacing/>
    </w:pPr>
    <w:rPr>
      <w:rFonts w:eastAsiaTheme="minorHAns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3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32F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mpbiblioteka.cku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1739</Words>
  <Characters>10435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9</cp:revision>
  <dcterms:created xsi:type="dcterms:W3CDTF">2020-11-04T14:13:00Z</dcterms:created>
  <dcterms:modified xsi:type="dcterms:W3CDTF">2020-11-04T15:04:00Z</dcterms:modified>
</cp:coreProperties>
</file>