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A15" w:rsidRPr="00A72D45" w:rsidRDefault="00C15A15">
      <w:pPr>
        <w:rPr>
          <w:b/>
          <w:sz w:val="26"/>
          <w:szCs w:val="26"/>
        </w:rPr>
      </w:pPr>
      <w:r w:rsidRPr="00A72D45">
        <w:rPr>
          <w:b/>
          <w:sz w:val="26"/>
          <w:szCs w:val="26"/>
        </w:rPr>
        <w:t>I BHP - Techniczne bezpieczeństwo pracy.</w:t>
      </w:r>
    </w:p>
    <w:p w:rsidR="00C15A15" w:rsidRPr="00A72D45" w:rsidRDefault="007E56D7">
      <w:pPr>
        <w:rPr>
          <w:b/>
          <w:sz w:val="26"/>
          <w:szCs w:val="26"/>
        </w:rPr>
      </w:pPr>
      <w:r w:rsidRPr="00A72D45">
        <w:rPr>
          <w:b/>
          <w:sz w:val="26"/>
          <w:szCs w:val="26"/>
        </w:rPr>
        <w:t>24</w:t>
      </w:r>
      <w:r w:rsidR="00C15A15" w:rsidRPr="00A72D45">
        <w:rPr>
          <w:b/>
          <w:sz w:val="26"/>
          <w:szCs w:val="26"/>
        </w:rPr>
        <w:t xml:space="preserve">.10.2020 </w:t>
      </w:r>
    </w:p>
    <w:p w:rsidR="00683405" w:rsidRPr="00A72D45" w:rsidRDefault="00C15A15">
      <w:pPr>
        <w:rPr>
          <w:b/>
          <w:sz w:val="26"/>
          <w:szCs w:val="26"/>
        </w:rPr>
      </w:pPr>
      <w:r w:rsidRPr="00A72D45">
        <w:rPr>
          <w:b/>
          <w:sz w:val="26"/>
          <w:szCs w:val="26"/>
        </w:rPr>
        <w:t>Temat</w:t>
      </w:r>
      <w:r w:rsidR="00B34358">
        <w:rPr>
          <w:b/>
          <w:sz w:val="26"/>
          <w:szCs w:val="26"/>
        </w:rPr>
        <w:t xml:space="preserve"> 1</w:t>
      </w:r>
      <w:r w:rsidRPr="00A72D45">
        <w:rPr>
          <w:b/>
          <w:sz w:val="26"/>
          <w:szCs w:val="26"/>
        </w:rPr>
        <w:t>: Obiekty techniczne - wymagania dotyczące budynków oraz terenu zakładu pracy.</w:t>
      </w:r>
    </w:p>
    <w:p w:rsidR="00A72D45" w:rsidRDefault="00A72D45">
      <w:r>
        <w:t>POJĘCIA PODSTAWOWE:</w:t>
      </w:r>
    </w:p>
    <w:p w:rsidR="00A72D45" w:rsidRDefault="00A72D45" w:rsidP="00A72D45">
      <w:pPr>
        <w:spacing w:after="0"/>
      </w:pPr>
      <w:r>
        <w:t>1.</w:t>
      </w:r>
      <w:r w:rsidRPr="00A72D45">
        <w:rPr>
          <w:b/>
          <w:u w:val="single"/>
        </w:rPr>
        <w:t>Obiekt budowlany</w:t>
      </w:r>
      <w:r>
        <w:t xml:space="preserve"> to budynek wraz z instalacjami i urządzeniami technicznymi, budowla stanowiąca całość techniczno-użytkową wraz z instalacjami i urządzeniami lub obiekt małej architektury.</w:t>
      </w:r>
    </w:p>
    <w:p w:rsidR="00A72D45" w:rsidRDefault="00A72D45" w:rsidP="00A72D45">
      <w:pPr>
        <w:spacing w:after="0"/>
      </w:pPr>
      <w:r>
        <w:t xml:space="preserve">2. </w:t>
      </w:r>
      <w:r w:rsidRPr="00A72D45">
        <w:rPr>
          <w:b/>
          <w:u w:val="single"/>
        </w:rPr>
        <w:t>Budynek</w:t>
      </w:r>
      <w:r>
        <w:t xml:space="preserve"> - to taki obiekt budowlany, który jest trwale związany z gruntem i wydzielony z przestrzeni za pomocą przegród budowlanych oraz ma fundamenty i dach.</w:t>
      </w:r>
    </w:p>
    <w:p w:rsidR="00A72D45" w:rsidRDefault="00A72D45" w:rsidP="00A72D45">
      <w:pPr>
        <w:spacing w:after="0"/>
      </w:pPr>
      <w:r>
        <w:t>3. Podział budynków na grupy wysokości:</w:t>
      </w:r>
    </w:p>
    <w:p w:rsidR="00A72D45" w:rsidRDefault="00A72D45" w:rsidP="00A72D45">
      <w:pPr>
        <w:spacing w:after="0"/>
      </w:pPr>
      <w:r>
        <w:t>- niskie (N) - do 12 metrów</w:t>
      </w:r>
    </w:p>
    <w:p w:rsidR="00A72D45" w:rsidRDefault="00A72D45" w:rsidP="00A72D45">
      <w:pPr>
        <w:spacing w:after="0"/>
      </w:pPr>
      <w:r>
        <w:t>- średniowysokie (SW) - ponad 12 m do 25 m</w:t>
      </w:r>
    </w:p>
    <w:p w:rsidR="00A72D45" w:rsidRDefault="00A72D45" w:rsidP="00A72D45">
      <w:pPr>
        <w:spacing w:after="0"/>
      </w:pPr>
      <w:r>
        <w:t>-  wysokie (W) - ponad 25 m do 55 m</w:t>
      </w:r>
    </w:p>
    <w:p w:rsidR="00A72D45" w:rsidRDefault="00A72D45" w:rsidP="00A72D45">
      <w:pPr>
        <w:spacing w:after="0"/>
      </w:pPr>
      <w:r>
        <w:t>- wysokościowe (WW) - powyżej 55 m</w:t>
      </w:r>
    </w:p>
    <w:p w:rsidR="00A72D45" w:rsidRDefault="00FA4492" w:rsidP="00FA4492">
      <w:pPr>
        <w:jc w:val="both"/>
        <w:rPr>
          <w:noProof/>
          <w:lang w:eastAsia="pl-PL"/>
        </w:rPr>
      </w:pPr>
      <w:r>
        <w:rPr>
          <w:b/>
          <w:noProof/>
          <w:u w:val="single"/>
          <w:lang w:eastAsia="pl-PL"/>
        </w:rPr>
        <w:t xml:space="preserve">3. </w:t>
      </w:r>
      <w:r w:rsidR="00A72D45" w:rsidRPr="00FA4492">
        <w:rPr>
          <w:b/>
          <w:noProof/>
          <w:u w:val="single"/>
          <w:lang w:eastAsia="pl-PL"/>
        </w:rPr>
        <w:t>Budynek użyteczności publicznej</w:t>
      </w:r>
      <w:r w:rsidR="00A72D45">
        <w:rPr>
          <w:noProof/>
          <w:lang w:eastAsia="pl-PL"/>
        </w:rPr>
        <w:t xml:space="preserve"> - to budynek przeznaczony na potrzeby administracji publicznej, wymiaru sprawiedliwości, kultury, kultu religijnego, oświaty, szkolnictwa wyższego, nauki, wychowania, opieki zdrowotnej, społecznej lub socjalnej, obsługi bankowej, handlu, gastronomii, usług, turystyki, sportu, obsługi pasażerów w transporcie kolejowym, drogowym, lotniczym, morskim</w:t>
      </w:r>
      <w:r>
        <w:rPr>
          <w:noProof/>
          <w:lang w:eastAsia="pl-PL"/>
        </w:rPr>
        <w:t xml:space="preserve"> lub wodnym.</w:t>
      </w:r>
    </w:p>
    <w:p w:rsidR="00FA4492" w:rsidRDefault="00FA4492" w:rsidP="00FA4492">
      <w:pPr>
        <w:jc w:val="both"/>
      </w:pPr>
      <w:r>
        <w:rPr>
          <w:b/>
          <w:u w:val="single"/>
        </w:rPr>
        <w:t xml:space="preserve">4. </w:t>
      </w:r>
      <w:r w:rsidRPr="00FA4492">
        <w:rPr>
          <w:b/>
          <w:u w:val="single"/>
        </w:rPr>
        <w:t>Urządzenia budowlane</w:t>
      </w:r>
      <w:r>
        <w:t xml:space="preserve"> - to urządzenia techniczne związane z obiektem budowlanym, zapewniające możliwość użytkowania obiektu zgodnie z jego przeznaczeniem, takie jak: przyłącza i urządzenia instalacyjne, przejazdy, ogrodzenia, place postojowe, place na śmietniki.</w:t>
      </w:r>
    </w:p>
    <w:p w:rsidR="00FA4492" w:rsidRDefault="00FA4492" w:rsidP="00FA4492">
      <w:pPr>
        <w:spacing w:after="0"/>
        <w:jc w:val="both"/>
      </w:pPr>
      <w:r>
        <w:t>Obiekty budowlane powinny być projektowane i budowane zgodnie z zasadami wiedzy technicznej, zapewniając:</w:t>
      </w:r>
    </w:p>
    <w:p w:rsidR="00FA4492" w:rsidRDefault="00FA4492" w:rsidP="00FA4492">
      <w:pPr>
        <w:spacing w:after="0"/>
      </w:pPr>
      <w:r>
        <w:t>- spełnienie wymagań podstawowych</w:t>
      </w:r>
    </w:p>
    <w:p w:rsidR="00FA4492" w:rsidRDefault="00FA4492" w:rsidP="00FA4492">
      <w:pPr>
        <w:spacing w:after="0"/>
      </w:pPr>
      <w:r>
        <w:t>- warunki użytkowe zgodne z przeznaczeniem obiektu</w:t>
      </w:r>
    </w:p>
    <w:p w:rsidR="00FA4492" w:rsidRDefault="00FA4492" w:rsidP="00FA4492">
      <w:pPr>
        <w:spacing w:after="0"/>
      </w:pPr>
      <w:r>
        <w:t>- możliwość dostępu do usług telekomunikacyjnych</w:t>
      </w:r>
    </w:p>
    <w:p w:rsidR="00FA4492" w:rsidRDefault="00FA4492" w:rsidP="00FA4492">
      <w:pPr>
        <w:spacing w:after="0"/>
      </w:pPr>
      <w:r>
        <w:t>- możliwość utrzymania właściwego stanu technicznego</w:t>
      </w:r>
    </w:p>
    <w:p w:rsidR="00FA4492" w:rsidRDefault="00FA4492" w:rsidP="00FA4492">
      <w:pPr>
        <w:spacing w:after="0"/>
      </w:pPr>
      <w:r>
        <w:t>- niezbędne warunki do korzystania z obiektów użyteczności publicznej i mieszkaniowego budownictwa wielorodzinnego przez osoby niepełnosprawne</w:t>
      </w:r>
    </w:p>
    <w:p w:rsidR="00FA4492" w:rsidRDefault="00FA4492" w:rsidP="00FA4492">
      <w:pPr>
        <w:spacing w:after="0"/>
      </w:pPr>
      <w:r>
        <w:t>- warunki bezpieczeństwa  i higieny pracy</w:t>
      </w:r>
    </w:p>
    <w:p w:rsidR="00FA4492" w:rsidRDefault="00FA4492" w:rsidP="00FA4492">
      <w:pPr>
        <w:spacing w:after="0"/>
      </w:pPr>
      <w:r>
        <w:t>- ochronę ludności</w:t>
      </w:r>
    </w:p>
    <w:p w:rsidR="00FA4492" w:rsidRDefault="00FA4492" w:rsidP="00FA4492">
      <w:pPr>
        <w:spacing w:after="0"/>
      </w:pPr>
      <w:r>
        <w:t>- ochronę obiektów wpisanych do rejestru zabytków i konserwatorskich</w:t>
      </w:r>
    </w:p>
    <w:p w:rsidR="00FA4492" w:rsidRDefault="00FA4492" w:rsidP="00FA4492">
      <w:pPr>
        <w:spacing w:after="0"/>
      </w:pPr>
      <w:r>
        <w:t>- odpowiednie usytuowanie na działce budowlanej</w:t>
      </w:r>
    </w:p>
    <w:p w:rsidR="00FA4492" w:rsidRDefault="00FA4492" w:rsidP="00FA4492">
      <w:pPr>
        <w:spacing w:after="0"/>
      </w:pPr>
      <w:r>
        <w:t>-poszanowanie uzasadnionych interesów osób trzecich</w:t>
      </w:r>
    </w:p>
    <w:p w:rsidR="00FA4492" w:rsidRDefault="00FA4492" w:rsidP="00FA4492">
      <w:pPr>
        <w:spacing w:after="0"/>
      </w:pPr>
      <w:r>
        <w:t>-</w:t>
      </w:r>
      <w:r w:rsidR="00DD2A31">
        <w:t>warunki bezpieczeństwa i ochrony osób  przebywających na terenie budowy</w:t>
      </w:r>
    </w:p>
    <w:p w:rsidR="00C15A15" w:rsidRDefault="00DD2A31">
      <w:r>
        <w:rPr>
          <w:noProof/>
          <w:lang w:eastAsia="pl-PL"/>
        </w:rPr>
        <w:lastRenderedPageBreak/>
        <w:drawing>
          <wp:inline distT="0" distB="0" distL="0" distR="0">
            <wp:extent cx="5534025" cy="3175643"/>
            <wp:effectExtent l="19050" t="0" r="9525" b="0"/>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534025" cy="3175643"/>
                    </a:xfrm>
                    <a:prstGeom prst="rect">
                      <a:avLst/>
                    </a:prstGeom>
                    <a:noFill/>
                    <a:ln w="9525">
                      <a:noFill/>
                      <a:miter lim="800000"/>
                      <a:headEnd/>
                      <a:tailEnd/>
                    </a:ln>
                  </pic:spPr>
                </pic:pic>
              </a:graphicData>
            </a:graphic>
          </wp:inline>
        </w:drawing>
      </w:r>
    </w:p>
    <w:p w:rsidR="00C15A15" w:rsidRDefault="00DD2A31">
      <w:r>
        <w:rPr>
          <w:noProof/>
          <w:lang w:eastAsia="pl-PL"/>
        </w:rPr>
        <w:drawing>
          <wp:inline distT="0" distB="0" distL="0" distR="0">
            <wp:extent cx="5353050" cy="1991588"/>
            <wp:effectExtent l="19050" t="0" r="0" b="0"/>
            <wp:docPr id="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5353050" cy="1991588"/>
                    </a:xfrm>
                    <a:prstGeom prst="rect">
                      <a:avLst/>
                    </a:prstGeom>
                    <a:noFill/>
                    <a:ln w="9525">
                      <a:noFill/>
                      <a:miter lim="800000"/>
                      <a:headEnd/>
                      <a:tailEnd/>
                    </a:ln>
                  </pic:spPr>
                </pic:pic>
              </a:graphicData>
            </a:graphic>
          </wp:inline>
        </w:drawing>
      </w:r>
    </w:p>
    <w:p w:rsidR="00C15A15" w:rsidRDefault="00DD2A31">
      <w:r>
        <w:rPr>
          <w:noProof/>
          <w:lang w:eastAsia="pl-PL"/>
        </w:rPr>
        <w:drawing>
          <wp:inline distT="0" distB="0" distL="0" distR="0">
            <wp:extent cx="5413853" cy="781050"/>
            <wp:effectExtent l="19050" t="0" r="0" b="0"/>
            <wp:docPr id="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5413853" cy="781050"/>
                    </a:xfrm>
                    <a:prstGeom prst="rect">
                      <a:avLst/>
                    </a:prstGeom>
                    <a:noFill/>
                    <a:ln w="9525">
                      <a:noFill/>
                      <a:miter lim="800000"/>
                      <a:headEnd/>
                      <a:tailEnd/>
                    </a:ln>
                  </pic:spPr>
                </pic:pic>
              </a:graphicData>
            </a:graphic>
          </wp:inline>
        </w:drawing>
      </w:r>
    </w:p>
    <w:p w:rsidR="00DD2A31" w:rsidRPr="00B34358" w:rsidRDefault="00B34358">
      <w:pPr>
        <w:rPr>
          <w:b/>
          <w:sz w:val="26"/>
          <w:szCs w:val="26"/>
        </w:rPr>
      </w:pPr>
      <w:r w:rsidRPr="00B34358">
        <w:rPr>
          <w:b/>
          <w:sz w:val="26"/>
          <w:szCs w:val="26"/>
        </w:rPr>
        <w:t>Temat 2: Zagrożenia pożarowe i wybuchowe.</w:t>
      </w:r>
    </w:p>
    <w:p w:rsidR="00B34358" w:rsidRDefault="00B34358">
      <w:r w:rsidRPr="00B34358">
        <w:t>https://journals.indexcopernicus.com/api/file/viewByFileId/558676.pdf</w:t>
      </w:r>
    </w:p>
    <w:p w:rsidR="00B34358" w:rsidRPr="00B34358" w:rsidRDefault="00B34358">
      <w:pPr>
        <w:rPr>
          <w:b/>
          <w:sz w:val="26"/>
          <w:szCs w:val="26"/>
        </w:rPr>
      </w:pPr>
      <w:r w:rsidRPr="00B34358">
        <w:rPr>
          <w:b/>
          <w:sz w:val="26"/>
          <w:szCs w:val="26"/>
        </w:rPr>
        <w:t>Temat 3: Sposoby zabezpieczania budynków przed pożarem.</w:t>
      </w:r>
    </w:p>
    <w:p w:rsidR="00B34358" w:rsidRPr="00B34358" w:rsidRDefault="00B34358" w:rsidP="00B34358">
      <w:pPr>
        <w:shd w:val="clear" w:color="auto" w:fill="FFFFFF"/>
        <w:spacing w:line="240" w:lineRule="auto"/>
        <w:rPr>
          <w:rFonts w:ascii="Open Sans" w:eastAsia="Times New Roman" w:hAnsi="Open Sans" w:cs="Open Sans"/>
          <w:color w:val="333333"/>
          <w:sz w:val="21"/>
          <w:szCs w:val="21"/>
          <w:lang w:eastAsia="pl-PL"/>
        </w:rPr>
      </w:pPr>
      <w:r w:rsidRPr="00B34358">
        <w:rPr>
          <w:rFonts w:ascii="Open Sans" w:eastAsia="Times New Roman" w:hAnsi="Open Sans" w:cs="Open Sans"/>
          <w:color w:val="333333"/>
          <w:sz w:val="21"/>
          <w:szCs w:val="21"/>
          <w:lang w:eastAsia="pl-PL"/>
        </w:rPr>
        <w:t>Zabezpieczenie przeciwpożarowe ma na celu zapobieganie powstaniu i rozprzestrzenianiu się pożaru, zapewnienie sił i środków do jego zwalczania oraz umożliwienie prowadzenia działań ratowniczych.</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333333"/>
          <w:sz w:val="21"/>
          <w:szCs w:val="21"/>
          <w:lang w:eastAsia="pl-PL"/>
        </w:rPr>
        <w:t>Zabezpieczenia przeciwpożarowe możemy podzielić na aktywne i pasywne. Do </w:t>
      </w:r>
      <w:r w:rsidRPr="00B34358">
        <w:rPr>
          <w:rFonts w:ascii="Tahoma" w:eastAsia="Times New Roman" w:hAnsi="Tahoma" w:cs="Tahoma"/>
          <w:b/>
          <w:bCs/>
          <w:color w:val="333333"/>
          <w:sz w:val="21"/>
          <w:lang w:eastAsia="pl-PL"/>
        </w:rPr>
        <w:t>zabezpieczeń aktywnych </w:t>
      </w:r>
      <w:r w:rsidRPr="00B34358">
        <w:rPr>
          <w:rFonts w:ascii="Tahoma" w:eastAsia="Times New Roman" w:hAnsi="Tahoma" w:cs="Tahoma"/>
          <w:color w:val="333333"/>
          <w:sz w:val="21"/>
          <w:szCs w:val="21"/>
          <w:lang w:eastAsia="pl-PL"/>
        </w:rPr>
        <w:t>możemy zaliczyć:</w:t>
      </w:r>
    </w:p>
    <w:p w:rsidR="00B34358" w:rsidRPr="00B34358" w:rsidRDefault="00B34358" w:rsidP="00B34358">
      <w:pPr>
        <w:numPr>
          <w:ilvl w:val="0"/>
          <w:numId w:val="1"/>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instalacje sygnalizacji pożaru (ISP),</w:t>
      </w:r>
    </w:p>
    <w:p w:rsidR="00B34358" w:rsidRPr="00B34358" w:rsidRDefault="00B34358" w:rsidP="00B34358">
      <w:pPr>
        <w:numPr>
          <w:ilvl w:val="0"/>
          <w:numId w:val="1"/>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stałe urządzenia gaśnicze (SUG),</w:t>
      </w:r>
    </w:p>
    <w:p w:rsidR="00B34358" w:rsidRPr="00B34358" w:rsidRDefault="00B34358" w:rsidP="00B34358">
      <w:pPr>
        <w:numPr>
          <w:ilvl w:val="0"/>
          <w:numId w:val="1"/>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lastRenderedPageBreak/>
        <w:t xml:space="preserve">urządzenia </w:t>
      </w:r>
      <w:proofErr w:type="spellStart"/>
      <w:r w:rsidRPr="00B34358">
        <w:rPr>
          <w:rFonts w:ascii="Tahoma" w:eastAsia="Times New Roman" w:hAnsi="Tahoma" w:cs="Tahoma"/>
          <w:color w:val="535151"/>
          <w:sz w:val="21"/>
          <w:szCs w:val="21"/>
          <w:lang w:eastAsia="pl-PL"/>
        </w:rPr>
        <w:t>zraszaczowe</w:t>
      </w:r>
      <w:proofErr w:type="spellEnd"/>
      <w:r w:rsidRPr="00B34358">
        <w:rPr>
          <w:rFonts w:ascii="Tahoma" w:eastAsia="Times New Roman" w:hAnsi="Tahoma" w:cs="Tahoma"/>
          <w:color w:val="535151"/>
          <w:sz w:val="21"/>
          <w:szCs w:val="21"/>
          <w:lang w:eastAsia="pl-PL"/>
        </w:rPr>
        <w:t>,</w:t>
      </w:r>
    </w:p>
    <w:p w:rsidR="00B34358" w:rsidRPr="00B34358" w:rsidRDefault="00B34358" w:rsidP="00B34358">
      <w:pPr>
        <w:numPr>
          <w:ilvl w:val="0"/>
          <w:numId w:val="1"/>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systemy hydrantowe,</w:t>
      </w:r>
    </w:p>
    <w:p w:rsidR="00B34358" w:rsidRPr="00B34358" w:rsidRDefault="00B34358" w:rsidP="00B34358">
      <w:pPr>
        <w:numPr>
          <w:ilvl w:val="0"/>
          <w:numId w:val="1"/>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klapy domowe (systemy odprowadzania dymu i ciepła).</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b/>
          <w:bCs/>
          <w:color w:val="333333"/>
          <w:sz w:val="21"/>
          <w:lang w:eastAsia="pl-PL"/>
        </w:rPr>
        <w:t>Zabezpieczenia pasywne</w:t>
      </w:r>
      <w:r w:rsidRPr="00B34358">
        <w:rPr>
          <w:rFonts w:ascii="Tahoma" w:eastAsia="Times New Roman" w:hAnsi="Tahoma" w:cs="Tahoma"/>
          <w:color w:val="333333"/>
          <w:sz w:val="21"/>
          <w:szCs w:val="21"/>
          <w:lang w:eastAsia="pl-PL"/>
        </w:rPr>
        <w:t> to między innymi:</w:t>
      </w:r>
    </w:p>
    <w:p w:rsidR="00B34358" w:rsidRPr="00B34358" w:rsidRDefault="00B34358" w:rsidP="00B34358">
      <w:pPr>
        <w:numPr>
          <w:ilvl w:val="0"/>
          <w:numId w:val="2"/>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impregnacja przeciwogniowa,</w:t>
      </w:r>
    </w:p>
    <w:p w:rsidR="00B34358" w:rsidRPr="00B34358" w:rsidRDefault="00B34358" w:rsidP="00B34358">
      <w:pPr>
        <w:numPr>
          <w:ilvl w:val="0"/>
          <w:numId w:val="2"/>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zabudowy przeciwogniowe,</w:t>
      </w:r>
    </w:p>
    <w:p w:rsidR="00B34358" w:rsidRPr="00B34358" w:rsidRDefault="00B34358" w:rsidP="00B34358">
      <w:pPr>
        <w:numPr>
          <w:ilvl w:val="0"/>
          <w:numId w:val="2"/>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przegrody pożarowe,</w:t>
      </w:r>
    </w:p>
    <w:p w:rsidR="00B34358" w:rsidRPr="00B34358" w:rsidRDefault="00B34358" w:rsidP="00B34358">
      <w:pPr>
        <w:numPr>
          <w:ilvl w:val="0"/>
          <w:numId w:val="2"/>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zabezpieczenia kabli i systemów technicznych,</w:t>
      </w:r>
    </w:p>
    <w:p w:rsidR="00B34358" w:rsidRPr="00B34358" w:rsidRDefault="00B34358" w:rsidP="00B34358">
      <w:pPr>
        <w:numPr>
          <w:ilvl w:val="0"/>
          <w:numId w:val="2"/>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ściany i drzwi przeciwogniowe.</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000000"/>
          <w:sz w:val="21"/>
          <w:szCs w:val="21"/>
          <w:lang w:eastAsia="pl-PL"/>
        </w:rPr>
        <w:t>Istotniejsze z praktycznego punktu widzenia są aktywne zabezpieczenia, które są w stanie ostrzec nas o zagrożeniu oraz samoczynnie rozpocząć gaszenie ognia, uniemożliwiając jego rozprzestrzenianie, dlatego też ich charakterystykę pokrótce przedstawimy poniżej.</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b/>
          <w:bCs/>
          <w:color w:val="333333"/>
          <w:sz w:val="21"/>
          <w:lang w:eastAsia="pl-PL"/>
        </w:rPr>
        <w:t>Stałe urządzenia gaśnicze</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333333"/>
          <w:sz w:val="21"/>
          <w:szCs w:val="21"/>
          <w:lang w:eastAsia="pl-PL"/>
        </w:rPr>
        <w:t xml:space="preserve">Obowiązek stosowania stałych urządzeń gaśniczych, do których zalicza się stałe urządzenia gaśnicze wodne (tryskaczowe i </w:t>
      </w:r>
      <w:proofErr w:type="spellStart"/>
      <w:r w:rsidRPr="00B34358">
        <w:rPr>
          <w:rFonts w:ascii="Tahoma" w:eastAsia="Times New Roman" w:hAnsi="Tahoma" w:cs="Tahoma"/>
          <w:color w:val="333333"/>
          <w:sz w:val="21"/>
          <w:szCs w:val="21"/>
          <w:lang w:eastAsia="pl-PL"/>
        </w:rPr>
        <w:t>zraszaczowe</w:t>
      </w:r>
      <w:proofErr w:type="spellEnd"/>
      <w:r w:rsidRPr="00B34358">
        <w:rPr>
          <w:rFonts w:ascii="Tahoma" w:eastAsia="Times New Roman" w:hAnsi="Tahoma" w:cs="Tahoma"/>
          <w:color w:val="333333"/>
          <w:sz w:val="21"/>
          <w:szCs w:val="21"/>
          <w:lang w:eastAsia="pl-PL"/>
        </w:rPr>
        <w:t>), parowe, pianowe, gazowe i aerozolowe, proszkowe regulują przepisy rozporządzenia Ministra Spraw Wewnętrznych z dnia 7 czerwca 2010 r. w sprawie ochrony przeciwpożarowej budynków, innych obiektów budowlanych i terenów.</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333333"/>
          <w:sz w:val="21"/>
          <w:szCs w:val="21"/>
          <w:lang w:eastAsia="pl-PL"/>
        </w:rPr>
        <w:t>Zgodnie z ww. rozporządzeniem stosowanie </w:t>
      </w:r>
      <w:r w:rsidRPr="00B34358">
        <w:rPr>
          <w:rFonts w:ascii="Tahoma" w:eastAsia="Times New Roman" w:hAnsi="Tahoma" w:cs="Tahoma"/>
          <w:b/>
          <w:bCs/>
          <w:color w:val="333333"/>
          <w:sz w:val="21"/>
          <w:lang w:eastAsia="pl-PL"/>
        </w:rPr>
        <w:t>stałych urządzeń gaśniczych, związanych na stałe z obiektem, zawierających zapas środka gaśniczego i uruchamianych samoczynnie we wczesnej fazie rozwoju pożaru</w:t>
      </w:r>
      <w:r w:rsidRPr="00B34358">
        <w:rPr>
          <w:rFonts w:ascii="Tahoma" w:eastAsia="Times New Roman" w:hAnsi="Tahoma" w:cs="Tahoma"/>
          <w:color w:val="333333"/>
          <w:sz w:val="21"/>
          <w:szCs w:val="21"/>
          <w:lang w:eastAsia="pl-PL"/>
        </w:rPr>
        <w:t>, jest wymagane w:</w:t>
      </w:r>
    </w:p>
    <w:p w:rsidR="00B34358" w:rsidRPr="00B34358" w:rsidRDefault="00B34358" w:rsidP="00B34358">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archiwach, wyznaczonych przez Naczelnego Dyrektora Archiwów Państwowych,</w:t>
      </w:r>
    </w:p>
    <w:p w:rsidR="00B34358" w:rsidRPr="00B34358" w:rsidRDefault="00B34358" w:rsidP="00B34358">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muzeach oraz zabytkach budowlanych, wyznaczonych przez Generalnego Konserwatora Zabytków w uzgodnieniu z Komendantem Głównym Państwowej Straży Pożarnej,</w:t>
      </w:r>
    </w:p>
    <w:p w:rsidR="00B34358" w:rsidRPr="00B34358" w:rsidRDefault="00B34358" w:rsidP="00B34358">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535151"/>
          <w:sz w:val="21"/>
          <w:szCs w:val="21"/>
          <w:lang w:eastAsia="pl-PL"/>
        </w:rPr>
        <w:t>ośrodkach elektronicznego przetwarzania danych o znaczeniu krajowym.</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333333"/>
          <w:sz w:val="21"/>
          <w:szCs w:val="21"/>
          <w:lang w:eastAsia="pl-PL"/>
        </w:rPr>
        <w:t>Należy zaznaczyć, że zgodnie z przepisami powyżej przytoczonego rozporządzenia </w:t>
      </w:r>
      <w:r w:rsidRPr="00B34358">
        <w:rPr>
          <w:rFonts w:ascii="Tahoma" w:eastAsia="Times New Roman" w:hAnsi="Tahoma" w:cs="Tahoma"/>
          <w:color w:val="000000"/>
          <w:sz w:val="21"/>
          <w:szCs w:val="21"/>
          <w:shd w:val="clear" w:color="auto" w:fill="FFFFFF"/>
          <w:lang w:eastAsia="pl-PL"/>
        </w:rPr>
        <w:t>w strefach pożarowych i pomieszczeniach wyposażonych w stałe urządzenia gaśnicze gazowe lub z innym środkiem gaśniczym mogącym mieć wpływ na zdrowie ludzi powinny być zapewnione warunki bezpieczeństwa dla osób przebywających w tych pomieszczeniach, zgodnie z odpowiednimi Polskimi Normami dotyczącymi tych urządzeń.</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333333"/>
          <w:sz w:val="21"/>
          <w:szCs w:val="21"/>
          <w:lang w:eastAsia="pl-PL"/>
        </w:rPr>
        <w:t>Natomiast stosowanie </w:t>
      </w:r>
      <w:r w:rsidRPr="00B34358">
        <w:rPr>
          <w:rFonts w:ascii="Tahoma" w:eastAsia="Times New Roman" w:hAnsi="Tahoma" w:cs="Tahoma"/>
          <w:b/>
          <w:bCs/>
          <w:color w:val="333333"/>
          <w:sz w:val="21"/>
          <w:lang w:eastAsia="pl-PL"/>
        </w:rPr>
        <w:t>stałych urządzeń gaśniczych wodnych</w:t>
      </w:r>
      <w:r w:rsidRPr="00B34358">
        <w:rPr>
          <w:rFonts w:ascii="Tahoma" w:eastAsia="Times New Roman" w:hAnsi="Tahoma" w:cs="Tahoma"/>
          <w:color w:val="333333"/>
          <w:sz w:val="21"/>
          <w:szCs w:val="21"/>
          <w:lang w:eastAsia="pl-PL"/>
        </w:rPr>
        <w:t> jest wymagane w:</w:t>
      </w:r>
    </w:p>
    <w:p w:rsidR="00B34358" w:rsidRPr="00B34358" w:rsidRDefault="00B34358" w:rsidP="00B34358">
      <w:pPr>
        <w:numPr>
          <w:ilvl w:val="0"/>
          <w:numId w:val="4"/>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lang w:eastAsia="pl-PL"/>
        </w:rPr>
        <w:t>budynkach handlowych lub wystawowych: jednokondygnacyjnych, w strefie pożarowej zakwalifikowanej do kategorii zagrożenia ludzi ZL I o powierzchni powyżej 8000 m</w:t>
      </w:r>
      <w:r w:rsidRPr="00B34358">
        <w:rPr>
          <w:rFonts w:ascii="Tahoma" w:eastAsia="Times New Roman" w:hAnsi="Tahoma" w:cs="Tahoma"/>
          <w:color w:val="000000"/>
          <w:sz w:val="16"/>
          <w:szCs w:val="16"/>
          <w:vertAlign w:val="superscript"/>
          <w:lang w:eastAsia="pl-PL"/>
        </w:rPr>
        <w:t>2</w:t>
      </w:r>
      <w:r w:rsidRPr="00B34358">
        <w:rPr>
          <w:rFonts w:ascii="Tahoma" w:eastAsia="Times New Roman" w:hAnsi="Tahoma" w:cs="Tahoma"/>
          <w:color w:val="000000"/>
          <w:sz w:val="21"/>
          <w:szCs w:val="21"/>
          <w:lang w:eastAsia="pl-PL"/>
        </w:rPr>
        <w:t>,</w:t>
      </w:r>
    </w:p>
    <w:p w:rsidR="00B34358" w:rsidRPr="00B34358" w:rsidRDefault="00B34358" w:rsidP="00B34358">
      <w:pPr>
        <w:numPr>
          <w:ilvl w:val="0"/>
          <w:numId w:val="4"/>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lang w:eastAsia="pl-PL"/>
        </w:rPr>
        <w:t>wielokondygnacyjnych w strefie pożarowej zakwalifikowanej do kategorii zagrożenia ludzi ZL I o powierzchni powyżej 5000 m</w:t>
      </w:r>
      <w:r w:rsidRPr="00B34358">
        <w:rPr>
          <w:rFonts w:ascii="Tahoma" w:eastAsia="Times New Roman" w:hAnsi="Tahoma" w:cs="Tahoma"/>
          <w:color w:val="000000"/>
          <w:sz w:val="16"/>
          <w:szCs w:val="16"/>
          <w:vertAlign w:val="superscript"/>
          <w:lang w:eastAsia="pl-PL"/>
        </w:rPr>
        <w:t>2</w:t>
      </w:r>
      <w:r w:rsidRPr="00B34358">
        <w:rPr>
          <w:rFonts w:ascii="Tahoma" w:eastAsia="Times New Roman" w:hAnsi="Tahoma" w:cs="Tahoma"/>
          <w:color w:val="000000"/>
          <w:sz w:val="21"/>
          <w:szCs w:val="21"/>
          <w:lang w:eastAsia="pl-PL"/>
        </w:rPr>
        <w:t>,</w:t>
      </w:r>
    </w:p>
    <w:p w:rsidR="00B34358" w:rsidRPr="00B34358" w:rsidRDefault="00B34358" w:rsidP="00B34358">
      <w:pPr>
        <w:numPr>
          <w:ilvl w:val="0"/>
          <w:numId w:val="4"/>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lang w:eastAsia="pl-PL"/>
        </w:rPr>
        <w:t>budynkach o liczbie miejsc służących celom gastronomicznym powyżej 600, </w:t>
      </w:r>
    </w:p>
    <w:p w:rsidR="00B34358" w:rsidRPr="00B34358" w:rsidRDefault="00B34358" w:rsidP="00B34358">
      <w:pPr>
        <w:numPr>
          <w:ilvl w:val="0"/>
          <w:numId w:val="4"/>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lang w:eastAsia="pl-PL"/>
        </w:rPr>
        <w:t>budynkach użyteczności publicznej wysokościowych,</w:t>
      </w:r>
    </w:p>
    <w:p w:rsidR="00B34358" w:rsidRPr="00B34358" w:rsidRDefault="00B34358" w:rsidP="00B34358">
      <w:pPr>
        <w:numPr>
          <w:ilvl w:val="0"/>
          <w:numId w:val="4"/>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lang w:eastAsia="pl-PL"/>
        </w:rPr>
        <w:t>budynkach zamieszkania zbiorowego wysokościowych.</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b/>
          <w:bCs/>
          <w:color w:val="333333"/>
          <w:sz w:val="21"/>
          <w:lang w:eastAsia="pl-PL"/>
        </w:rPr>
        <w:t>System sygnalizacji przeciwpożarowej</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333333"/>
          <w:sz w:val="21"/>
          <w:szCs w:val="21"/>
          <w:lang w:eastAsia="pl-PL"/>
        </w:rPr>
        <w:t>Instalacje sygnalizacji pożaru składają się z centrali alarmowej, czujek i przycisków pożarowych oraz sygnalizatorów alarmowych (optycznych i akustycznych).</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000000"/>
          <w:sz w:val="21"/>
          <w:szCs w:val="21"/>
          <w:shd w:val="clear" w:color="auto" w:fill="FFFFFF"/>
          <w:lang w:eastAsia="pl-PL"/>
        </w:rPr>
        <w:t xml:space="preserve">Stosowanie systemu sygnalizacji pożarowej, obejmującego urządzenia sygnalizacyjno-alarmowe, służące do samoczynnego wykrywania i przekazywania informacji o pożarze, a także urządzenia </w:t>
      </w:r>
      <w:r w:rsidRPr="00B34358">
        <w:rPr>
          <w:rFonts w:ascii="Tahoma" w:eastAsia="Times New Roman" w:hAnsi="Tahoma" w:cs="Tahoma"/>
          <w:color w:val="000000"/>
          <w:sz w:val="21"/>
          <w:szCs w:val="21"/>
          <w:shd w:val="clear" w:color="auto" w:fill="FFFFFF"/>
          <w:lang w:eastAsia="pl-PL"/>
        </w:rPr>
        <w:lastRenderedPageBreak/>
        <w:t xml:space="preserve">odbiorcze alarmów pożarowych i urządzenia odbiorcze sygnałów </w:t>
      </w:r>
      <w:proofErr w:type="spellStart"/>
      <w:r w:rsidRPr="00B34358">
        <w:rPr>
          <w:rFonts w:ascii="Tahoma" w:eastAsia="Times New Roman" w:hAnsi="Tahoma" w:cs="Tahoma"/>
          <w:color w:val="000000"/>
          <w:sz w:val="21"/>
          <w:szCs w:val="21"/>
          <w:shd w:val="clear" w:color="auto" w:fill="FFFFFF"/>
          <w:lang w:eastAsia="pl-PL"/>
        </w:rPr>
        <w:t>uszkodzeniowych</w:t>
      </w:r>
      <w:proofErr w:type="spellEnd"/>
      <w:r w:rsidRPr="00B34358">
        <w:rPr>
          <w:rFonts w:ascii="Tahoma" w:eastAsia="Times New Roman" w:hAnsi="Tahoma" w:cs="Tahoma"/>
          <w:color w:val="000000"/>
          <w:sz w:val="21"/>
          <w:szCs w:val="21"/>
          <w:shd w:val="clear" w:color="auto" w:fill="FFFFFF"/>
          <w:lang w:eastAsia="pl-PL"/>
        </w:rPr>
        <w:t>, jest wymagane w:</w:t>
      </w:r>
    </w:p>
    <w:p w:rsidR="00B34358" w:rsidRPr="00B34358" w:rsidRDefault="00B34358" w:rsidP="00B34358">
      <w:pPr>
        <w:numPr>
          <w:ilvl w:val="0"/>
          <w:numId w:val="5"/>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budynkach handlowych lub wystawowych:</w:t>
      </w:r>
    </w:p>
    <w:p w:rsidR="00B34358" w:rsidRPr="00B34358" w:rsidRDefault="00B34358" w:rsidP="00B34358">
      <w:pPr>
        <w:numPr>
          <w:ilvl w:val="0"/>
          <w:numId w:val="6"/>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jednokondygnacyjnych o powierzchni strefy pożarowej powyżej 5 000 m</w:t>
      </w:r>
      <w:r w:rsidRPr="00B34358">
        <w:rPr>
          <w:rFonts w:ascii="Tahoma" w:eastAsia="Times New Roman" w:hAnsi="Tahoma" w:cs="Tahoma"/>
          <w:color w:val="000000"/>
          <w:sz w:val="16"/>
          <w:szCs w:val="16"/>
          <w:shd w:val="clear" w:color="auto" w:fill="FFFFFF"/>
          <w:vertAlign w:val="superscript"/>
          <w:lang w:eastAsia="pl-PL"/>
        </w:rPr>
        <w:t>2</w:t>
      </w:r>
      <w:r w:rsidRPr="00B34358">
        <w:rPr>
          <w:rFonts w:ascii="Tahoma" w:eastAsia="Times New Roman" w:hAnsi="Tahoma" w:cs="Tahoma"/>
          <w:color w:val="000000"/>
          <w:sz w:val="21"/>
          <w:szCs w:val="21"/>
          <w:shd w:val="clear" w:color="auto" w:fill="FFFFFF"/>
          <w:lang w:eastAsia="pl-PL"/>
        </w:rPr>
        <w:t>,</w:t>
      </w:r>
    </w:p>
    <w:p w:rsidR="00B34358" w:rsidRPr="00B34358" w:rsidRDefault="00B34358" w:rsidP="00B34358">
      <w:pPr>
        <w:numPr>
          <w:ilvl w:val="0"/>
          <w:numId w:val="6"/>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wielokondygnacyjnych o powierzchni strefy pożarowej powyżej 2 500 m</w:t>
      </w:r>
      <w:r w:rsidRPr="00B34358">
        <w:rPr>
          <w:rFonts w:ascii="Tahoma" w:eastAsia="Times New Roman" w:hAnsi="Tahoma" w:cs="Tahoma"/>
          <w:color w:val="000000"/>
          <w:sz w:val="16"/>
          <w:szCs w:val="16"/>
          <w:shd w:val="clear" w:color="auto" w:fill="FFFFFF"/>
          <w:vertAlign w:val="superscript"/>
          <w:lang w:eastAsia="pl-PL"/>
        </w:rPr>
        <w:t>2</w:t>
      </w:r>
      <w:r w:rsidRPr="00B34358">
        <w:rPr>
          <w:rFonts w:ascii="Tahoma" w:eastAsia="Times New Roman" w:hAnsi="Tahoma" w:cs="Tahoma"/>
          <w:color w:val="000000"/>
          <w:sz w:val="21"/>
          <w:szCs w:val="21"/>
          <w:shd w:val="clear" w:color="auto" w:fill="FFFFFF"/>
          <w:lang w:eastAsia="pl-PL"/>
        </w:rPr>
        <w:t>,</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teatrach o liczbie miejsc powyżej 300,</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kinach o liczbie miejsc powyżej 600,</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budynkach o liczbie miejsc służących celom gastronomicznym powyżej 300,</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salach widowiskowych i sportowych o liczbie miejsc powyżej 1 500,</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szpitalach, z wyjątkiem psychiatrycznych, oraz w sanatoriach – o liczbie łóżek powyżej 200 w budynku,</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szpitalach psychiatrycznych o liczbie łóżek powyżej 100 w budynku,</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domach pomocy społecznej i ośrodkach rehabilitacji dla osób niepełnosprawnych o liczbie łóżek powyżej 100 w budynku,</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zakładach pracy zatrudniających powyżej 100 osób niepełnosprawnych w budynku;</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budynkach użyteczności publicznej wysokich i wysokościowych,</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budynkach zamieszkania zbiorowego, w których przewidywany okres pobytu tych samych osób przekracza trzy doby, o liczbie miejsc noclegowych powyżej 200,</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budynkach zamieszkania zbiorowego niewymienionych w pkt 11, o liczbie miejsc noclegowych powyżej 50,</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archiwach wyznaczonych przez Naczelnego Dyrektora Archiwów Państwowych,</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muzeach oraz zabytkach budowlanych, wyznaczonych przez Generalnego Konserwatora Zabytków w uzgodnieniu z Komendantem Głównym Państwowej Straży Pożarnej,</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ośrodkach elektronicznego przetwarzania danych o zasięgu krajowym, wojewódzkim i w urzędach obsługujących organy administracji rządowej,</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centralach telefonicznych o pojemności powyżej 10 000 numerów i centralach telefonicznych tranzytowych o pojemności 5 000-10 000 numerów, o znaczeniu miejscowym lub regionalnym,</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garażach podziemnych, w których strefa pożarowa przekracza 1 500 m</w:t>
      </w:r>
      <w:r w:rsidRPr="00B34358">
        <w:rPr>
          <w:rFonts w:ascii="Tahoma" w:eastAsia="Times New Roman" w:hAnsi="Tahoma" w:cs="Tahoma"/>
          <w:color w:val="000000"/>
          <w:sz w:val="16"/>
          <w:szCs w:val="16"/>
          <w:shd w:val="clear" w:color="auto" w:fill="FFFFFF"/>
          <w:vertAlign w:val="superscript"/>
          <w:lang w:eastAsia="pl-PL"/>
        </w:rPr>
        <w:t>2</w:t>
      </w:r>
      <w:r w:rsidRPr="00B34358">
        <w:rPr>
          <w:rFonts w:ascii="Tahoma" w:eastAsia="Times New Roman" w:hAnsi="Tahoma" w:cs="Tahoma"/>
          <w:color w:val="000000"/>
          <w:sz w:val="21"/>
          <w:szCs w:val="21"/>
          <w:shd w:val="clear" w:color="auto" w:fill="FFFFFF"/>
          <w:lang w:eastAsia="pl-PL"/>
        </w:rPr>
        <w:t> lub obejmujących więcej niż jedną kondygnację podziemną,</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stacjach metra i stacjach kolei podziemnych,</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dworcach i portach, przeznaczonych do jednoczesnego przebywania powyżej 500 osób,</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bankach, w których strefa pożarowa zawierająca salę operacyjną ma powierzchnię przekraczającą 500 m</w:t>
      </w:r>
      <w:r w:rsidRPr="00B34358">
        <w:rPr>
          <w:rFonts w:ascii="Tahoma" w:eastAsia="Times New Roman" w:hAnsi="Tahoma" w:cs="Tahoma"/>
          <w:color w:val="000000"/>
          <w:sz w:val="16"/>
          <w:szCs w:val="16"/>
          <w:shd w:val="clear" w:color="auto" w:fill="FFFFFF"/>
          <w:vertAlign w:val="superscript"/>
          <w:lang w:eastAsia="pl-PL"/>
        </w:rPr>
        <w:t>2</w:t>
      </w:r>
      <w:r w:rsidRPr="00B34358">
        <w:rPr>
          <w:rFonts w:ascii="Tahoma" w:eastAsia="Times New Roman" w:hAnsi="Tahoma" w:cs="Tahoma"/>
          <w:color w:val="000000"/>
          <w:sz w:val="21"/>
          <w:szCs w:val="21"/>
          <w:shd w:val="clear" w:color="auto" w:fill="FFFFFF"/>
          <w:lang w:eastAsia="pl-PL"/>
        </w:rPr>
        <w:t>,</w:t>
      </w:r>
    </w:p>
    <w:p w:rsidR="00B34358" w:rsidRPr="00B34358" w:rsidRDefault="00B34358" w:rsidP="00B34358">
      <w:pPr>
        <w:numPr>
          <w:ilvl w:val="0"/>
          <w:numId w:val="7"/>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bibliotekach, których zbiory w całości lub w części tworzą narodowy zasób biblioteczny.</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b/>
          <w:bCs/>
          <w:color w:val="000000"/>
          <w:sz w:val="21"/>
          <w:lang w:eastAsia="pl-PL"/>
        </w:rPr>
        <w:t>Dźwiękowy system ostrzegawczy</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000000"/>
          <w:sz w:val="21"/>
          <w:szCs w:val="21"/>
          <w:shd w:val="clear" w:color="auto" w:fill="FFFFFF"/>
          <w:lang w:eastAsia="pl-PL"/>
        </w:rPr>
        <w:t>Stosowanie dźwiękowego systemu ostrzegawczego, umożliwiającego rozgłaszanie sygnałów ostrzegawczych i komunikatów głosowych dla potrzeb bezpieczeństwa osób przebywających w budynku, nadawanych automatycznie po otrzymaniu sygnału z systemu sygnalizacji pożarowej, a także przez operatora, jest wymagane w:</w:t>
      </w:r>
    </w:p>
    <w:p w:rsidR="00B34358" w:rsidRPr="00B34358" w:rsidRDefault="00B34358" w:rsidP="00B34358">
      <w:pPr>
        <w:numPr>
          <w:ilvl w:val="0"/>
          <w:numId w:val="8"/>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budynkach handlowych lub wystawowych:</w:t>
      </w:r>
    </w:p>
    <w:p w:rsidR="00B34358" w:rsidRPr="00B34358" w:rsidRDefault="00B34358" w:rsidP="00B34358">
      <w:pPr>
        <w:numPr>
          <w:ilvl w:val="0"/>
          <w:numId w:val="9"/>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jednokondygnacyjnych o powierzchni strefy pożarowej powyżej 8 000 m</w:t>
      </w:r>
      <w:r w:rsidRPr="00B34358">
        <w:rPr>
          <w:rFonts w:ascii="Tahoma" w:eastAsia="Times New Roman" w:hAnsi="Tahoma" w:cs="Tahoma"/>
          <w:color w:val="000000"/>
          <w:sz w:val="16"/>
          <w:szCs w:val="16"/>
          <w:shd w:val="clear" w:color="auto" w:fill="FFFFFF"/>
          <w:vertAlign w:val="superscript"/>
          <w:lang w:eastAsia="pl-PL"/>
        </w:rPr>
        <w:t>2</w:t>
      </w:r>
      <w:r w:rsidRPr="00B34358">
        <w:rPr>
          <w:rFonts w:ascii="Tahoma" w:eastAsia="Times New Roman" w:hAnsi="Tahoma" w:cs="Tahoma"/>
          <w:color w:val="000000"/>
          <w:sz w:val="21"/>
          <w:szCs w:val="21"/>
          <w:shd w:val="clear" w:color="auto" w:fill="FFFFFF"/>
          <w:lang w:eastAsia="pl-PL"/>
        </w:rPr>
        <w:t>,</w:t>
      </w:r>
    </w:p>
    <w:p w:rsidR="00B34358" w:rsidRPr="00B34358" w:rsidRDefault="00B34358" w:rsidP="00B34358">
      <w:pPr>
        <w:numPr>
          <w:ilvl w:val="0"/>
          <w:numId w:val="9"/>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wielokondygnacyjnych o powierzchni strefy pożarowej powyżej 5 000 m</w:t>
      </w:r>
      <w:r w:rsidRPr="00B34358">
        <w:rPr>
          <w:rFonts w:ascii="Tahoma" w:eastAsia="Times New Roman" w:hAnsi="Tahoma" w:cs="Tahoma"/>
          <w:color w:val="000000"/>
          <w:sz w:val="16"/>
          <w:szCs w:val="16"/>
          <w:shd w:val="clear" w:color="auto" w:fill="FFFFFF"/>
          <w:vertAlign w:val="superscript"/>
          <w:lang w:eastAsia="pl-PL"/>
        </w:rPr>
        <w:t>2</w:t>
      </w:r>
      <w:r w:rsidRPr="00B34358">
        <w:rPr>
          <w:rFonts w:ascii="Tahoma" w:eastAsia="Times New Roman" w:hAnsi="Tahoma" w:cs="Tahoma"/>
          <w:color w:val="000000"/>
          <w:sz w:val="21"/>
          <w:szCs w:val="21"/>
          <w:shd w:val="clear" w:color="auto" w:fill="FFFFFF"/>
          <w:lang w:eastAsia="pl-PL"/>
        </w:rPr>
        <w:t>;</w:t>
      </w:r>
    </w:p>
    <w:p w:rsidR="00B34358" w:rsidRPr="00B34358" w:rsidRDefault="00B34358" w:rsidP="00B34358">
      <w:pPr>
        <w:numPr>
          <w:ilvl w:val="0"/>
          <w:numId w:val="10"/>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salach widowiskowych i sportowych o liczbie miejsc powyżej 1 500,</w:t>
      </w:r>
    </w:p>
    <w:p w:rsidR="00B34358" w:rsidRPr="00B34358" w:rsidRDefault="00B34358" w:rsidP="00B34358">
      <w:pPr>
        <w:numPr>
          <w:ilvl w:val="0"/>
          <w:numId w:val="10"/>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kinach i teatrach o liczbie miejsc powyżej 600,</w:t>
      </w:r>
    </w:p>
    <w:p w:rsidR="00B34358" w:rsidRPr="00B34358" w:rsidRDefault="00B34358" w:rsidP="00B34358">
      <w:pPr>
        <w:numPr>
          <w:ilvl w:val="0"/>
          <w:numId w:val="10"/>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lastRenderedPageBreak/>
        <w:t>szpitalach i sanatoriach o liczbie łóżek powyżej 200 w budynku, z wyłączeniem pomieszczeń intensywnej opieki medycznej, sal operacyjnych oraz sal z chorymi,</w:t>
      </w:r>
    </w:p>
    <w:p w:rsidR="00B34358" w:rsidRPr="00B34358" w:rsidRDefault="00B34358" w:rsidP="00B34358">
      <w:pPr>
        <w:numPr>
          <w:ilvl w:val="0"/>
          <w:numId w:val="10"/>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budynkach użyteczności publicznej wysokich i wysokościowych,</w:t>
      </w:r>
    </w:p>
    <w:p w:rsidR="00B34358" w:rsidRPr="00B34358" w:rsidRDefault="00B34358" w:rsidP="00B34358">
      <w:pPr>
        <w:numPr>
          <w:ilvl w:val="0"/>
          <w:numId w:val="10"/>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budynkach zamieszkania zbiorowego wysokich i wysokościowych lub o liczbie miejsc noclegowych powyżej 200,</w:t>
      </w:r>
    </w:p>
    <w:p w:rsidR="00B34358" w:rsidRPr="00B34358" w:rsidRDefault="00B34358" w:rsidP="00B34358">
      <w:pPr>
        <w:numPr>
          <w:ilvl w:val="0"/>
          <w:numId w:val="10"/>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stacjach metra i stacjach kolei podziemnych,</w:t>
      </w:r>
    </w:p>
    <w:p w:rsidR="00B34358" w:rsidRPr="00B34358" w:rsidRDefault="00B34358" w:rsidP="00B34358">
      <w:pPr>
        <w:numPr>
          <w:ilvl w:val="0"/>
          <w:numId w:val="10"/>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B34358">
        <w:rPr>
          <w:rFonts w:ascii="Tahoma" w:eastAsia="Times New Roman" w:hAnsi="Tahoma" w:cs="Tahoma"/>
          <w:color w:val="000000"/>
          <w:sz w:val="21"/>
          <w:szCs w:val="21"/>
          <w:shd w:val="clear" w:color="auto" w:fill="FFFFFF"/>
          <w:lang w:eastAsia="pl-PL"/>
        </w:rPr>
        <w:t>dworcach i portach, przeznaczonych do jednoczesnego przebywania powyżej 500 osób.</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b/>
          <w:bCs/>
          <w:color w:val="000000"/>
          <w:sz w:val="21"/>
          <w:lang w:eastAsia="pl-PL"/>
        </w:rPr>
        <w:t>Zasady dotyczące podłączania systemów sygnalizacji pożaru do PSP</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000000"/>
          <w:sz w:val="21"/>
          <w:szCs w:val="21"/>
          <w:shd w:val="clear" w:color="auto" w:fill="FFFFFF"/>
          <w:lang w:eastAsia="pl-PL"/>
        </w:rPr>
        <w:t>Obowiązek założenia i odpowiedniego połączenia urządzeń sygnalizacyjno-alarmowych dla obiektów wyżej wymienionych określa art. 5 ustawy z dnia 24 sierpnia 1991 r. o ochronie przeciwpożarowej.</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000000"/>
          <w:sz w:val="21"/>
          <w:szCs w:val="21"/>
          <w:shd w:val="clear" w:color="auto" w:fill="FFFFFF"/>
          <w:lang w:eastAsia="pl-PL"/>
        </w:rPr>
        <w:t>Zgodnie z ww. artykułem właściciel, zarządca lub użytkownik budynku, obiektu lub terenu, obowiązany do założenia urządzeń sygnalizacyjno-alarmowych, zobowiązany jest połączyć te urządzenia z najbliższą komendą lub jednostką ratowniczo-gaśniczą Państwowej Straży Pożarnej, o ile w tym budynku, obiekcie lub na terenie nie działa jego własna jednostka ratownicza.</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000000"/>
          <w:sz w:val="21"/>
          <w:szCs w:val="21"/>
          <w:shd w:val="clear" w:color="auto" w:fill="FFFFFF"/>
          <w:lang w:eastAsia="pl-PL"/>
        </w:rPr>
        <w:t>Sposób połączenia urządzeń sygnalizacyjno-alarmowych systemu sygnalizacji pożarowej właściciel, zarządca lub użytkownik obiektu jest obowiązany uzgodnić z właściwym terenowo komendantem powiatowym (miejskim) Państwowej Straży Pożarnej (§ 31 rozporządzenia Ministra Spraw Wewnętrznych i Administracji z dnia 7 czerwca 2010 r. w sprawie ochrony przeciwpożarowej budynków, innych obiektów budowlanych i terenów).</w:t>
      </w:r>
    </w:p>
    <w:p w:rsidR="00B34358" w:rsidRPr="00B34358" w:rsidRDefault="00B34358" w:rsidP="00B34358">
      <w:pPr>
        <w:shd w:val="clear" w:color="auto" w:fill="FFFFFF"/>
        <w:spacing w:after="225" w:line="240" w:lineRule="auto"/>
        <w:jc w:val="both"/>
        <w:rPr>
          <w:rFonts w:ascii="Open Sans" w:eastAsia="Times New Roman" w:hAnsi="Open Sans" w:cs="Open Sans"/>
          <w:color w:val="333333"/>
          <w:sz w:val="21"/>
          <w:szCs w:val="21"/>
          <w:lang w:eastAsia="pl-PL"/>
        </w:rPr>
      </w:pPr>
      <w:r w:rsidRPr="00B34358">
        <w:rPr>
          <w:rFonts w:ascii="Tahoma" w:eastAsia="Times New Roman" w:hAnsi="Tahoma" w:cs="Tahoma"/>
          <w:color w:val="000000"/>
          <w:sz w:val="21"/>
          <w:szCs w:val="21"/>
          <w:shd w:val="clear" w:color="auto" w:fill="FFFFFF"/>
          <w:lang w:eastAsia="pl-PL"/>
        </w:rPr>
        <w:t>Jednocześnie, zgodnie z ww. rozporządzeniem, obiekty wyposażone w stałe urządzenia gaśnicze mogą być niewyposażone w system sygnalizacji pożarowej. Możliwość ta nie oznacza zwolnienia z obowiązku połączenia urządzeń z komendą lub jednostką ratowniczo-gaśniczą Państwowej Straży Pożarnej w sposób zapewniający automatyczne przekazywanie informacji o pożarze.</w:t>
      </w:r>
    </w:p>
    <w:p w:rsidR="00C15A15" w:rsidRDefault="00C15A15"/>
    <w:p w:rsidR="004F4812" w:rsidRPr="005E16BB" w:rsidRDefault="004F4812" w:rsidP="004F4812">
      <w:pPr>
        <w:rPr>
          <w:rFonts w:ascii="Arial" w:hAnsi="Arial" w:cs="Arial"/>
          <w:b/>
          <w:sz w:val="26"/>
          <w:szCs w:val="26"/>
        </w:rPr>
      </w:pPr>
      <w:r w:rsidRPr="005E16BB">
        <w:rPr>
          <w:rFonts w:ascii="Arial" w:hAnsi="Arial" w:cs="Arial"/>
          <w:b/>
          <w:sz w:val="26"/>
          <w:szCs w:val="26"/>
        </w:rPr>
        <w:t>Techniczne bezpieczeństwo pracy - Semestr I BHP</w:t>
      </w:r>
    </w:p>
    <w:p w:rsidR="004F4812" w:rsidRPr="005E16BB" w:rsidRDefault="004F4812" w:rsidP="004F4812">
      <w:pPr>
        <w:rPr>
          <w:rFonts w:ascii="Arial" w:hAnsi="Arial" w:cs="Arial"/>
          <w:b/>
          <w:sz w:val="26"/>
          <w:szCs w:val="26"/>
        </w:rPr>
      </w:pPr>
      <w:r w:rsidRPr="005E16BB">
        <w:rPr>
          <w:rFonts w:ascii="Arial" w:hAnsi="Arial" w:cs="Arial"/>
          <w:b/>
          <w:sz w:val="26"/>
          <w:szCs w:val="26"/>
        </w:rPr>
        <w:t>25.10.2020</w:t>
      </w:r>
    </w:p>
    <w:p w:rsidR="004F4812" w:rsidRPr="005E16BB" w:rsidRDefault="004F4812" w:rsidP="004F4812">
      <w:pPr>
        <w:rPr>
          <w:rFonts w:ascii="Arial" w:hAnsi="Arial" w:cs="Arial"/>
          <w:b/>
          <w:sz w:val="26"/>
          <w:szCs w:val="26"/>
        </w:rPr>
      </w:pPr>
      <w:r w:rsidRPr="005E16BB">
        <w:rPr>
          <w:rFonts w:ascii="Arial" w:hAnsi="Arial" w:cs="Arial"/>
          <w:b/>
          <w:sz w:val="26"/>
          <w:szCs w:val="26"/>
        </w:rPr>
        <w:t>Temat 1: Opiniowanie dokumentacji projektowej.</w:t>
      </w:r>
    </w:p>
    <w:p w:rsidR="004F4812" w:rsidRPr="00C2215B" w:rsidRDefault="004F4812" w:rsidP="004F4812">
      <w:pPr>
        <w:shd w:val="clear" w:color="auto" w:fill="FFFFFF" w:themeFill="background1"/>
        <w:spacing w:after="75" w:line="240" w:lineRule="auto"/>
        <w:jc w:val="center"/>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Rozporządzenie Ministra Spraw Wewnętrznych i Administracji w sprawie uzgadniania projektu budowlanego pod względem ochrony przeciwpożarowej z dnia 2 grudnia 2015 r. (Dz.U. z 2015 r. poz. 2117)</w:t>
      </w:r>
    </w:p>
    <w:p w:rsidR="004F4812" w:rsidRPr="00C2215B" w:rsidRDefault="004F4812" w:rsidP="004F4812">
      <w:pPr>
        <w:shd w:val="clear" w:color="auto" w:fill="FFFFFF" w:themeFill="background1"/>
        <w:spacing w:after="0" w:line="240" w:lineRule="auto"/>
        <w:rPr>
          <w:rFonts w:ascii="Arial" w:eastAsia="Times New Roman" w:hAnsi="Arial" w:cs="Arial"/>
          <w:sz w:val="24"/>
          <w:szCs w:val="24"/>
          <w:lang w:eastAsia="pl-PL"/>
        </w:rPr>
      </w:pPr>
      <w:r w:rsidRPr="00C2215B">
        <w:rPr>
          <w:rFonts w:ascii="Arial" w:eastAsia="Times New Roman" w:hAnsi="Arial" w:cs="Arial"/>
          <w:sz w:val="24"/>
          <w:szCs w:val="24"/>
          <w:lang w:eastAsia="pl-PL"/>
        </w:rPr>
        <w:t>Na podstawie art. 6g ustawy z dnia 24 sierpnia 1991 r. o ochronie przeciwpożarowej (Dz.U. z 2009 r. Nr 178, poz. 1380, z </w:t>
      </w:r>
      <w:proofErr w:type="spellStart"/>
      <w:r w:rsidRPr="00C2215B">
        <w:rPr>
          <w:rFonts w:ascii="Arial" w:eastAsia="Times New Roman" w:hAnsi="Arial" w:cs="Arial"/>
          <w:sz w:val="24"/>
          <w:szCs w:val="24"/>
          <w:lang w:eastAsia="pl-PL"/>
        </w:rPr>
        <w:t>późn</w:t>
      </w:r>
      <w:proofErr w:type="spellEnd"/>
      <w:r w:rsidRPr="00C2215B">
        <w:rPr>
          <w:rFonts w:ascii="Arial" w:eastAsia="Times New Roman" w:hAnsi="Arial" w:cs="Arial"/>
          <w:sz w:val="24"/>
          <w:szCs w:val="24"/>
          <w:lang w:eastAsia="pl-PL"/>
        </w:rPr>
        <w:t>. zm.</w:t>
      </w:r>
      <w:r w:rsidRPr="005E16BB">
        <w:rPr>
          <w:rFonts w:ascii="Arial" w:eastAsia="Times New Roman" w:hAnsi="Arial" w:cs="Arial"/>
          <w:i/>
          <w:iCs/>
          <w:sz w:val="24"/>
          <w:szCs w:val="24"/>
          <w:vertAlign w:val="superscript"/>
          <w:lang w:eastAsia="pl-PL"/>
        </w:rPr>
        <w:t>1)</w:t>
      </w:r>
      <w:r w:rsidRPr="00C2215B">
        <w:rPr>
          <w:rFonts w:ascii="Arial" w:eastAsia="Times New Roman" w:hAnsi="Arial" w:cs="Arial"/>
          <w:sz w:val="24"/>
          <w:szCs w:val="24"/>
          <w:lang w:eastAsia="pl-PL"/>
        </w:rPr>
        <w:t>) zarządza się, co następuje:</w:t>
      </w:r>
    </w:p>
    <w:p w:rsidR="004F4812" w:rsidRPr="00C2215B" w:rsidRDefault="004F4812" w:rsidP="004F4812">
      <w:pPr>
        <w:shd w:val="clear" w:color="auto" w:fill="FFFFFF" w:themeFill="background1"/>
        <w:spacing w:after="75" w:line="240" w:lineRule="auto"/>
        <w:rPr>
          <w:rFonts w:ascii="Arial" w:eastAsia="Times New Roman" w:hAnsi="Arial" w:cs="Arial"/>
          <w:sz w:val="24"/>
          <w:szCs w:val="24"/>
          <w:lang w:eastAsia="pl-PL"/>
        </w:rPr>
      </w:pPr>
      <w:r w:rsidRPr="005E16BB">
        <w:rPr>
          <w:rFonts w:ascii="Arial" w:eastAsia="Times New Roman" w:hAnsi="Arial" w:cs="Arial"/>
          <w:b/>
          <w:bCs/>
          <w:sz w:val="24"/>
          <w:szCs w:val="24"/>
          <w:lang w:eastAsia="pl-PL"/>
        </w:rPr>
        <w:t>§ 1 </w:t>
      </w:r>
      <w:r w:rsidRPr="00C2215B">
        <w:rPr>
          <w:rFonts w:ascii="Arial" w:eastAsia="Times New Roman" w:hAnsi="Arial" w:cs="Arial"/>
          <w:sz w:val="24"/>
          <w:szCs w:val="24"/>
          <w:lang w:eastAsia="pl-PL"/>
        </w:rPr>
        <w:t>Rozporządzenie określa:</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rodzaje obiektów budowlanych istotnych ze względu na konieczność zapewnienia ochrony życia, zdrowia, mienia lub środowiska przed pożarem, klęską żywiołową lub innym miejscowym zagrożeniem, których projekty budowlane wymagają uzgodnienia pod względem zgodności z wymaganiami ochrony przeciwpożarowej, zwanego dalej „uzgodnieniem”;</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2)</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podstawowe dane dotyczące warunków ochrony przeciwpożarowej obiektu budowlanego, które powinny stanowić podstawę uzgodnienia;</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3)</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szczegółowy sposób dokonywania uzgodnień projektu budowlanego;</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4)</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wzór pieczęci potwierdzającej uzgodnienie projektu budowlanego obiektu budowlanego;</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lastRenderedPageBreak/>
        <w:t>5)</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sposób i zakres zawiadomienia o uzgodnieniu projektu budowlanego.</w:t>
      </w:r>
    </w:p>
    <w:p w:rsidR="004F4812" w:rsidRPr="005E16BB" w:rsidRDefault="004F4812" w:rsidP="004F4812">
      <w:pPr>
        <w:shd w:val="clear" w:color="auto" w:fill="FFFFFF" w:themeFill="background1"/>
        <w:spacing w:after="75" w:line="240" w:lineRule="auto"/>
        <w:rPr>
          <w:rFonts w:ascii="Arial" w:eastAsia="Times New Roman" w:hAnsi="Arial" w:cs="Arial"/>
          <w:b/>
          <w:bCs/>
          <w:sz w:val="24"/>
          <w:szCs w:val="24"/>
          <w:lang w:eastAsia="pl-PL"/>
        </w:rPr>
      </w:pPr>
    </w:p>
    <w:p w:rsidR="004F4812" w:rsidRPr="00C2215B" w:rsidRDefault="004F4812" w:rsidP="004F4812">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Podstawę uzgodnienia stanowią dane niezbędne do stwierdzenia zgodności z wymaganiami ochrony przeciwpożarowej, dotyczące warunków ochrony przeciwpożarowej obiektu budowlanego, zależne od przeznaczenia, sposobu użytkowania, prowadzonego procesu technologicznego, sposobu magazynowania lub składowania, występujących w obiekcie budowlanym zagrożeń pożarowych oraz warunków technicznych obiektu budowlanego, obejmujące w szczególności:</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powierzchni, wysokości i liczbie kondygnacji;</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2)</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charakterystykę zagrożenia pożarowego, w tym parametry pożarowe materiałów niebezpiecznych pożarowo, zagrożenia wynikające z procesów technologicznych oraz w zależności od potrzeb charakterystykę pożarów przyjętych do celów projektowych;</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3)</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kategorii zagrożenia ludzi oraz przewidywanej liczbie osób na każdej kondygnacji i w pomieszczeniach, których drzwi ewakuacyjne powinny otwierać się na zewnątrz pomieszczeń;</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4)</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przewidywanej gęstości obciążenia ogniowego;</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5)</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ocenę zagrożenia wybuchem pomieszczeń oraz przestrzeni zewnętrznych;</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6)</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klasie odporności pożarowej oraz klasie odporności ogniowej i stopniu rozprzestrzeniania ognia elementów budowlanych;</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7)</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podziale na strefy pożarowe oraz strefy dymowe;</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8)</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usytuowaniu z uwagi na bezpieczeństwo pożarowe, w tym o odległości od obiektów sąsiadujących;</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9)</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warunkach i strategii ewakuacji ludzi lub ich uratowania w inny sposób;</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10)</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sposobie zabezpieczenia przeciwpożarowego instalacji użytkowych, a w szczególności wentylacyjnej, ogrzewczej, gazowej, elektrycznej, teletechnicznej i piorunochronnej;</w:t>
      </w:r>
    </w:p>
    <w:p w:rsidR="004F4812" w:rsidRPr="00C2215B" w:rsidRDefault="004F4812" w:rsidP="004F4812">
      <w:pPr>
        <w:shd w:val="clear" w:color="auto" w:fill="FFFFFF" w:themeFill="background1"/>
        <w:spacing w:after="0" w:line="240" w:lineRule="auto"/>
        <w:jc w:val="both"/>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11)</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doborze urządzeń przeciwpożarowych i innych urządzeń służących bezpieczeństwu pożarowemu, dostosowanym do wymagań wynikających z przepisów dotyczących ochrony przeciwpożarowej i przyjętych scenariuszy pożarowych, z podstawową charakterystyką tych urządzeń;</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12)</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wyposażeniu w gaśnice;</w:t>
      </w:r>
    </w:p>
    <w:p w:rsidR="004F4812" w:rsidRPr="00C2215B" w:rsidRDefault="004F4812" w:rsidP="004F4812">
      <w:pPr>
        <w:shd w:val="clear" w:color="auto" w:fill="FFFFFF" w:themeFill="background1"/>
        <w:spacing w:after="0" w:line="240" w:lineRule="auto"/>
        <w:jc w:val="both"/>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13)</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informacje o przygotowaniu obiektu budowlanego i terenu do prowadzenia działań ratowniczo -gaśniczych, a w szczególności informacje o drogach pożarowych, zaopatrzeniu w wodę do zewnętrznego gaszenia pożaru oraz o sprzęcie służącym do tych działań.</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p>
    <w:p w:rsidR="004F4812" w:rsidRPr="00C2215B" w:rsidRDefault="004F4812" w:rsidP="004F4812">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Dane dotyczące warunków ochrony przeciwpożarowej przedstawia się w projekcie budowlanym w całości lub w części, w zależności od rodzaju rozwiązania zasadniczych elementów wyposażenia budowlano -instalacyjnego i od zakresu ich występowania w obiekcie budowlanym.</w:t>
      </w:r>
    </w:p>
    <w:p w:rsidR="004F4812" w:rsidRPr="00C2215B" w:rsidRDefault="004F4812" w:rsidP="004F4812">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Uzgodnienia projektu budowlanego dokonuje się w toku wzajemnej współpracy projektanta z rzeczoznawcą do spraw zabezpieczeń przeciwpożarowych w trakcie sporządzania przez projektanta projektu budowlanego polegającej na:</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konsultacji rozwiązań projektowych w zakresie oceny ich zgodności z wymaganiami ochrony przeciwpożarowej;</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2)</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wymianie uwag i stanowisk w zakresie projektowanych technicznych środków zabezpieczenia przeciwpożarowego;</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3)</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opracowaniu scenariusza pożarowego dla obiektu budowlanego objętego obowiązkiem stosowania systemu sygnalizacji pożarowej.</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p>
    <w:p w:rsidR="004F4812" w:rsidRPr="00C2215B" w:rsidRDefault="004F4812" w:rsidP="004F4812">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Odcisk pieczęci i podpis rzeczoznawcy do spraw zabezpieczeń przeciwpożarowych, potwierdzające uzgodnienie projektu budowlanego, umieszcza się na częściach rysunkowych egzemplarzy projektu budowlanego przedstawiających:</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1)</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rzut kondygnacji podstawowej obiektu budowlanego;</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r w:rsidRPr="00C2215B">
        <w:rPr>
          <w:rFonts w:ascii="Arial" w:eastAsia="Times New Roman" w:hAnsi="Arial" w:cs="Arial"/>
          <w:b/>
          <w:bCs/>
          <w:sz w:val="24"/>
          <w:szCs w:val="24"/>
          <w:lang w:eastAsia="pl-PL"/>
        </w:rPr>
        <w:t>2)</w:t>
      </w:r>
      <w:r w:rsidRPr="005E16BB">
        <w:rPr>
          <w:rFonts w:ascii="Arial" w:eastAsia="Times New Roman" w:hAnsi="Arial" w:cs="Arial"/>
          <w:b/>
          <w:bCs/>
          <w:sz w:val="24"/>
          <w:szCs w:val="24"/>
          <w:lang w:eastAsia="pl-PL"/>
        </w:rPr>
        <w:t xml:space="preserve"> </w:t>
      </w:r>
      <w:r w:rsidRPr="00C2215B">
        <w:rPr>
          <w:rFonts w:ascii="Arial" w:eastAsia="Times New Roman" w:hAnsi="Arial" w:cs="Arial"/>
          <w:sz w:val="24"/>
          <w:szCs w:val="24"/>
          <w:lang w:eastAsia="pl-PL"/>
        </w:rPr>
        <w:t>zagospodarowanie działki lub terenu, sporządzone na kopii mapy do celów projektowych.</w:t>
      </w:r>
    </w:p>
    <w:p w:rsidR="004F4812" w:rsidRPr="00C2215B" w:rsidRDefault="004F4812" w:rsidP="004F4812">
      <w:pPr>
        <w:shd w:val="clear" w:color="auto" w:fill="FFFFFF" w:themeFill="background1"/>
        <w:spacing w:after="0" w:line="240" w:lineRule="auto"/>
        <w:rPr>
          <w:rFonts w:ascii="Arial" w:eastAsia="Times New Roman" w:hAnsi="Arial" w:cs="Arial"/>
          <w:b/>
          <w:bCs/>
          <w:sz w:val="24"/>
          <w:szCs w:val="24"/>
          <w:lang w:eastAsia="pl-PL"/>
        </w:rPr>
      </w:pPr>
    </w:p>
    <w:p w:rsidR="004F4812" w:rsidRPr="00C2215B" w:rsidRDefault="004F4812" w:rsidP="004F4812">
      <w:pPr>
        <w:shd w:val="clear" w:color="auto" w:fill="FFFFFF" w:themeFill="background1"/>
        <w:spacing w:after="75" w:line="240" w:lineRule="auto"/>
        <w:jc w:val="both"/>
        <w:rPr>
          <w:rFonts w:ascii="Arial" w:eastAsia="Times New Roman" w:hAnsi="Arial" w:cs="Arial"/>
          <w:sz w:val="24"/>
          <w:szCs w:val="24"/>
          <w:lang w:eastAsia="pl-PL"/>
        </w:rPr>
      </w:pPr>
      <w:r w:rsidRPr="00C2215B">
        <w:rPr>
          <w:rFonts w:ascii="Arial" w:eastAsia="Times New Roman" w:hAnsi="Arial" w:cs="Arial"/>
          <w:sz w:val="24"/>
          <w:szCs w:val="24"/>
          <w:lang w:eastAsia="pl-PL"/>
        </w:rPr>
        <w:t>Uwagi do projektu budowlanego umieszcza się w sposób czytelny pod odciskiem pieczęci uzgadniającej projekt budowlany, a w przypadku braku miejsca - na odwrocie części rysunkowej, umieszczając pod odciskiem pieczęci uzgadniającej projekt budowlany adnotację „verte”. Pod uwagami na odwrocie części rysunkowej umieszcza się datę, podpis i pieczęć identyfikującą rzeczoznawcę do spraw zabezpieczeń przeciwpożarowych.</w:t>
      </w:r>
    </w:p>
    <w:p w:rsidR="004F4812" w:rsidRPr="00C2215B" w:rsidRDefault="004F4812" w:rsidP="004F4812">
      <w:pPr>
        <w:rPr>
          <w:b/>
          <w:sz w:val="26"/>
          <w:szCs w:val="26"/>
        </w:rPr>
      </w:pPr>
    </w:p>
    <w:p w:rsidR="004F4812" w:rsidRPr="005E16BB" w:rsidRDefault="004F4812" w:rsidP="004F4812">
      <w:pPr>
        <w:rPr>
          <w:rFonts w:ascii="Arial" w:hAnsi="Arial" w:cs="Arial"/>
          <w:b/>
          <w:sz w:val="26"/>
          <w:szCs w:val="26"/>
        </w:rPr>
      </w:pPr>
      <w:r w:rsidRPr="005E16BB">
        <w:rPr>
          <w:rFonts w:ascii="Arial" w:hAnsi="Arial" w:cs="Arial"/>
          <w:b/>
          <w:sz w:val="26"/>
          <w:szCs w:val="26"/>
        </w:rPr>
        <w:t>Temat 2: Oddanie obiektu do użytkowania.</w:t>
      </w:r>
    </w:p>
    <w:p w:rsidR="004F4812" w:rsidRPr="005E16BB" w:rsidRDefault="004F4812" w:rsidP="004F4812">
      <w:pPr>
        <w:jc w:val="both"/>
        <w:rPr>
          <w:rFonts w:ascii="Arial" w:hAnsi="Arial" w:cs="Arial"/>
          <w:sz w:val="24"/>
          <w:szCs w:val="24"/>
          <w:shd w:val="clear" w:color="auto" w:fill="FFFFFF"/>
        </w:rPr>
      </w:pPr>
      <w:r w:rsidRPr="005E16BB">
        <w:rPr>
          <w:rFonts w:ascii="Arial" w:hAnsi="Arial" w:cs="Arial"/>
          <w:color w:val="444444"/>
          <w:sz w:val="24"/>
          <w:szCs w:val="24"/>
          <w:shd w:val="clear" w:color="auto" w:fill="FFFFFF"/>
        </w:rPr>
        <w:t>Zasadą ustanowioną w art. 54 ustawy z dnia 7 lipca 1994 r. - Prawo budowlane (Dz. U. z 2016 r., poz. 290), dalej: „PB” jest </w:t>
      </w:r>
      <w:r w:rsidRPr="005E16BB">
        <w:rPr>
          <w:rStyle w:val="Pogrubienie"/>
          <w:rFonts w:ascii="Arial" w:hAnsi="Arial" w:cs="Arial"/>
          <w:color w:val="444444"/>
          <w:sz w:val="24"/>
          <w:szCs w:val="24"/>
          <w:bdr w:val="none" w:sz="0" w:space="0" w:color="auto" w:frame="1"/>
          <w:shd w:val="clear" w:color="auto" w:fill="FFFFFF"/>
        </w:rPr>
        <w:t>możliwość przystąpienia do użytkowania obiektu budowlanego, dopiero po zawiadomieniu właściwego organu nadzoru budowlanego o zakończeniu budowy przez inwestora.</w:t>
      </w:r>
      <w:r w:rsidRPr="005E16BB">
        <w:rPr>
          <w:rFonts w:ascii="Arial" w:hAnsi="Arial" w:cs="Arial"/>
          <w:color w:val="444444"/>
          <w:sz w:val="24"/>
          <w:szCs w:val="24"/>
          <w:shd w:val="clear" w:color="auto" w:fill="FFFFFF"/>
        </w:rPr>
        <w:t xml:space="preserve"> Powyższa zasada odnosi się do obiektu budowlanego, na wzniesienie którego było potrzebne uprzednie </w:t>
      </w:r>
      <w:r w:rsidRPr="005E16BB">
        <w:rPr>
          <w:rFonts w:ascii="Arial" w:hAnsi="Arial" w:cs="Arial"/>
          <w:sz w:val="24"/>
          <w:szCs w:val="24"/>
          <w:shd w:val="clear" w:color="auto" w:fill="FFFFFF"/>
        </w:rPr>
        <w:t xml:space="preserve">uzyskanie pozwolenia na budowę albo zgłoszenie budowy wolno stojących budynków mieszkalnych jednorodzinnych, których obszar oddziaływania mieści się w całości na działce lub działkach, a także budowy sieci elektroenergetycznych, obejmujących napięcie znamionowe nie wyższe niż 1 </w:t>
      </w:r>
      <w:proofErr w:type="spellStart"/>
      <w:r w:rsidRPr="005E16BB">
        <w:rPr>
          <w:rFonts w:ascii="Arial" w:hAnsi="Arial" w:cs="Arial"/>
          <w:sz w:val="24"/>
          <w:szCs w:val="24"/>
          <w:shd w:val="clear" w:color="auto" w:fill="FFFFFF"/>
        </w:rPr>
        <w:t>kV</w:t>
      </w:r>
      <w:proofErr w:type="spellEnd"/>
      <w:r w:rsidRPr="005E16BB">
        <w:rPr>
          <w:rFonts w:ascii="Arial" w:hAnsi="Arial" w:cs="Arial"/>
          <w:sz w:val="24"/>
          <w:szCs w:val="24"/>
          <w:shd w:val="clear" w:color="auto" w:fill="FFFFFF"/>
        </w:rPr>
        <w:t>, sieci wodociągowych, kanalizacyjnych, cieplnych oraz telekomunikacyjnych.</w:t>
      </w:r>
    </w:p>
    <w:p w:rsidR="004F4812" w:rsidRPr="005E16BB" w:rsidRDefault="004F4812" w:rsidP="004F4812">
      <w:pPr>
        <w:jc w:val="both"/>
        <w:rPr>
          <w:rFonts w:ascii="Arial" w:hAnsi="Arial" w:cs="Arial"/>
          <w:sz w:val="24"/>
          <w:szCs w:val="24"/>
          <w:shd w:val="clear" w:color="auto" w:fill="FFFFFF"/>
        </w:rPr>
      </w:pPr>
      <w:r w:rsidRPr="005E16BB">
        <w:rPr>
          <w:rFonts w:ascii="Arial" w:hAnsi="Arial" w:cs="Arial"/>
          <w:sz w:val="24"/>
          <w:szCs w:val="24"/>
          <w:shd w:val="clear" w:color="auto" w:fill="FFFFFF"/>
        </w:rPr>
        <w:t>Przepis ten ma zatem zastosowanie tylko w przypadku zakończenia budowy, nie zaś przy prowadzeniu innych robót budowlanych. Ponadto, nie stosuje się go w sytuacji zakończenia budowy obiektów budowlanych, które nie wymagały uprzedniego uzyskania pozwolenia na budowę, a były objęte jedynie obowiązkiem zgłoszenia,</w:t>
      </w:r>
      <w:r>
        <w:rPr>
          <w:rFonts w:ascii="Arial" w:hAnsi="Arial" w:cs="Arial"/>
          <w:sz w:val="24"/>
          <w:szCs w:val="24"/>
          <w:shd w:val="clear" w:color="auto" w:fill="FFFFFF"/>
        </w:rPr>
        <w:br/>
      </w:r>
      <w:r w:rsidRPr="005E16BB">
        <w:rPr>
          <w:rFonts w:ascii="Arial" w:hAnsi="Arial" w:cs="Arial"/>
          <w:sz w:val="24"/>
          <w:szCs w:val="24"/>
          <w:shd w:val="clear" w:color="auto" w:fill="FFFFFF"/>
        </w:rPr>
        <w:t>z wyjątkiem przypadków wyszczególnionych w powyższym akapicie.</w:t>
      </w:r>
    </w:p>
    <w:p w:rsidR="004F4812" w:rsidRDefault="004F4812" w:rsidP="004F4812">
      <w:pPr>
        <w:jc w:val="both"/>
        <w:rPr>
          <w:rStyle w:val="Pogrubienie"/>
          <w:rFonts w:ascii="Arial" w:hAnsi="Arial" w:cs="Arial"/>
          <w:b w:val="0"/>
          <w:sz w:val="24"/>
          <w:szCs w:val="24"/>
          <w:bdr w:val="none" w:sz="0" w:space="0" w:color="auto" w:frame="1"/>
          <w:shd w:val="clear" w:color="auto" w:fill="FFFFFF"/>
        </w:rPr>
      </w:pPr>
      <w:r w:rsidRPr="005E16BB">
        <w:rPr>
          <w:rStyle w:val="Pogrubienie"/>
          <w:rFonts w:ascii="Arial" w:hAnsi="Arial" w:cs="Arial"/>
          <w:b w:val="0"/>
          <w:sz w:val="24"/>
          <w:szCs w:val="24"/>
          <w:bdr w:val="none" w:sz="0" w:space="0" w:color="auto" w:frame="1"/>
          <w:shd w:val="clear" w:color="auto" w:fill="FFFFFF"/>
        </w:rPr>
        <w:t>Właściwym organem, który powinien zostać zawiadomiony o zakończeniu budowy, jest organ nadzoru budowlanego I instancji, tj. powiatowy albo wojewódzki inspektor nadzoru budowlanego. </w:t>
      </w:r>
    </w:p>
    <w:p w:rsidR="004F4812" w:rsidRPr="005E16BB" w:rsidRDefault="004F4812" w:rsidP="004F4812">
      <w:pPr>
        <w:jc w:val="both"/>
        <w:rPr>
          <w:rFonts w:ascii="Arial" w:hAnsi="Arial" w:cs="Arial"/>
          <w:b/>
          <w:sz w:val="24"/>
          <w:szCs w:val="24"/>
          <w:shd w:val="clear" w:color="auto" w:fill="FFFFFF"/>
        </w:rPr>
      </w:pPr>
      <w:r w:rsidRPr="005E16BB">
        <w:rPr>
          <w:rStyle w:val="Pogrubienie"/>
          <w:rFonts w:ascii="Arial" w:hAnsi="Arial" w:cs="Arial"/>
          <w:b w:val="0"/>
          <w:sz w:val="24"/>
          <w:szCs w:val="24"/>
          <w:bdr w:val="none" w:sz="0" w:space="0" w:color="auto" w:frame="1"/>
          <w:shd w:val="clear" w:color="auto" w:fill="FFFFFF"/>
        </w:rPr>
        <w:t>Pamiętać należy także, że inwestor, zamiast dokonania zawiadomienia o zakończeniu budowy, zawsze może wystąpić z wnioskiem o wydanie decyzji o pozwoleniu na użytkowanie.</w:t>
      </w:r>
    </w:p>
    <w:p w:rsidR="004F4812" w:rsidRPr="005E16BB" w:rsidRDefault="004F4812" w:rsidP="004F4812">
      <w:pPr>
        <w:rPr>
          <w:rFonts w:ascii="Arial" w:hAnsi="Arial" w:cs="Arial"/>
          <w:b/>
          <w:sz w:val="26"/>
          <w:szCs w:val="26"/>
        </w:rPr>
      </w:pPr>
      <w:r w:rsidRPr="005E16BB">
        <w:rPr>
          <w:rFonts w:ascii="Arial" w:hAnsi="Arial" w:cs="Arial"/>
          <w:b/>
          <w:sz w:val="26"/>
          <w:szCs w:val="26"/>
        </w:rPr>
        <w:t>Temat 3: Książka obiektu budowlanego.</w:t>
      </w:r>
    </w:p>
    <w:p w:rsidR="004F4812" w:rsidRPr="003C160C" w:rsidRDefault="004F4812" w:rsidP="004F4812">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Książka powinna być założona w dniu przekazania obiektu budowlanego, zwanego dalej "obiektem", do użytkowania i systematycznie prowadzona przez okres jego użytkowania.</w:t>
      </w:r>
    </w:p>
    <w:p w:rsidR="004F4812" w:rsidRDefault="004F4812" w:rsidP="004F4812">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lastRenderedPageBreak/>
        <w:t>Książka powinna mieć format A-4 i być wykonana w sposób trwały, zapewniający przydatność do użytkowania w całym okresie użytkowania obiektu.</w:t>
      </w:r>
      <w:r>
        <w:rPr>
          <w:rFonts w:ascii="Arial" w:eastAsia="Times New Roman" w:hAnsi="Arial" w:cs="Arial"/>
          <w:lang w:eastAsia="pl-PL"/>
        </w:rPr>
        <w:t xml:space="preserve"> </w:t>
      </w:r>
    </w:p>
    <w:p w:rsidR="004F4812" w:rsidRPr="003C160C" w:rsidRDefault="004F4812" w:rsidP="004F4812">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Książka powinna mieć strony ponumerowane oraz zabezpieczone w sposób chroniący przed ich usunięciem lub wymianą.</w:t>
      </w:r>
    </w:p>
    <w:p w:rsidR="004F4812" w:rsidRPr="003C160C" w:rsidRDefault="004F4812" w:rsidP="004F4812">
      <w:pPr>
        <w:shd w:val="clear" w:color="auto" w:fill="FFFFFF" w:themeFill="background1"/>
        <w:spacing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W przypadku wypełnienia całej książki zakłada się jej kolejny tom, wpisując na stronie tytułowej numer kolejny tomu oraz datę założenia.</w:t>
      </w:r>
    </w:p>
    <w:p w:rsidR="004F4812" w:rsidRPr="003C160C" w:rsidRDefault="004F4812" w:rsidP="004F4812">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Wpisy do książki obejmują:</w:t>
      </w:r>
    </w:p>
    <w:p w:rsidR="004F4812" w:rsidRPr="003C160C" w:rsidRDefault="004F4812" w:rsidP="004F4812">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1)  podstawowe dane identyfikujące obiekt:</w:t>
      </w:r>
    </w:p>
    <w:p w:rsidR="004F4812" w:rsidRPr="003C160C" w:rsidRDefault="004F4812" w:rsidP="004F4812">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a)  rodzaj obiektu i jego adres,</w:t>
      </w:r>
    </w:p>
    <w:p w:rsidR="004F4812" w:rsidRPr="003C160C" w:rsidRDefault="004F4812" w:rsidP="004F4812">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b) właściciela, zarządcę - nazwę lub imię i nazwisko,</w:t>
      </w:r>
    </w:p>
    <w:p w:rsidR="004F4812" w:rsidRPr="003C160C" w:rsidRDefault="004F4812" w:rsidP="004F4812">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c)  protokół odbioru obiektu - numer i datę sporządzenia,</w:t>
      </w:r>
    </w:p>
    <w:p w:rsidR="004F4812" w:rsidRPr="003C160C" w:rsidRDefault="004F4812" w:rsidP="004F4812">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d) pozwolenie na użytkowanie obiektu - nazwę organu, który wydał, numer i datę wydania,</w:t>
      </w:r>
    </w:p>
    <w:p w:rsidR="004F4812" w:rsidRPr="003C160C" w:rsidRDefault="004F4812" w:rsidP="004F4812">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e)  zmianę właściciela lub zarządcy - numer i datę protokołu przejęcia obiektu,</w:t>
      </w:r>
    </w:p>
    <w:p w:rsidR="004F4812" w:rsidRPr="003C160C" w:rsidRDefault="004F4812" w:rsidP="004F4812">
      <w:pPr>
        <w:shd w:val="clear" w:color="auto" w:fill="FFFFFF" w:themeFill="background1"/>
        <w:spacing w:after="0" w:line="240" w:lineRule="auto"/>
        <w:ind w:left="680" w:hanging="273"/>
        <w:jc w:val="both"/>
        <w:rPr>
          <w:rFonts w:ascii="Arial" w:eastAsia="Times New Roman" w:hAnsi="Arial" w:cs="Arial"/>
          <w:lang w:eastAsia="pl-PL"/>
        </w:rPr>
      </w:pPr>
      <w:r w:rsidRPr="003C160C">
        <w:rPr>
          <w:rFonts w:ascii="Arial" w:eastAsia="Times New Roman" w:hAnsi="Arial" w:cs="Arial"/>
          <w:lang w:eastAsia="pl-PL"/>
        </w:rPr>
        <w:t>f)  wpis o zamknięciu książki, datę jej założenia;</w:t>
      </w:r>
    </w:p>
    <w:p w:rsidR="004F4812" w:rsidRPr="003C160C" w:rsidRDefault="004F4812" w:rsidP="004F4812">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2)  dane ogólne o obiekcie wraz z wykazem dokumentacji, w tym dokumentacji technicznej przekazanej właścicielowi (zarządcy) przy zakładaniu książki;</w:t>
      </w:r>
    </w:p>
    <w:p w:rsidR="004F4812" w:rsidRPr="003C160C" w:rsidRDefault="004F4812" w:rsidP="004F4812">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3)  plan sytuacyjny obiektu, z zaznaczonymi granicami nieruchomości, określający również usytuowanie miejsc przyłączenia obiektu do sieci uzbrojenia terenu oraz armatury lub urządzeń przeznaczonych do odcięcia czynnika dostarczanego za pomocą tych sieci, a w szczególności gazu, energii elektrycznej i ciepła;</w:t>
      </w:r>
    </w:p>
    <w:p w:rsidR="004F4812" w:rsidRPr="003C160C" w:rsidRDefault="004F4812" w:rsidP="004F4812">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4)  protokoły kontroli oraz badań określonych w art. 62 ust. 1 i 2 ustawy oraz przeprowadzonych remontów i przebudowy obiektu.</w:t>
      </w:r>
    </w:p>
    <w:p w:rsidR="004F4812" w:rsidRPr="003C160C" w:rsidRDefault="004F4812" w:rsidP="004F4812">
      <w:pPr>
        <w:shd w:val="clear" w:color="auto" w:fill="FFFFFF" w:themeFill="background1"/>
        <w:spacing w:before="240"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Wpisy do książki powinny być dokonywane w dniu zaistnienia okoliczności, dla której jest wymagane dokonanie odpowiedniego wpisu.</w:t>
      </w:r>
      <w:r>
        <w:rPr>
          <w:rFonts w:ascii="Arial" w:eastAsia="Times New Roman" w:hAnsi="Arial" w:cs="Arial"/>
          <w:lang w:eastAsia="pl-PL"/>
        </w:rPr>
        <w:t xml:space="preserve"> </w:t>
      </w:r>
      <w:r w:rsidRPr="003C160C">
        <w:rPr>
          <w:rFonts w:ascii="Arial" w:eastAsia="Times New Roman" w:hAnsi="Arial" w:cs="Arial"/>
          <w:lang w:eastAsia="pl-PL"/>
        </w:rPr>
        <w:t>Wpis do książki powinien:</w:t>
      </w:r>
    </w:p>
    <w:p w:rsidR="004F4812" w:rsidRPr="003C160C" w:rsidRDefault="004F4812" w:rsidP="004F4812">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1)  zawierać dane identyfikujące dokument będący przedmiotem wpisu, określać ważne ustalenia w nim zawarte oraz dane identyfikujące osobę, która dokument wystawiła;</w:t>
      </w:r>
    </w:p>
    <w:p w:rsidR="004F4812" w:rsidRPr="003C160C" w:rsidRDefault="004F4812" w:rsidP="004F4812">
      <w:pPr>
        <w:shd w:val="clear" w:color="auto" w:fill="FFFFFF" w:themeFill="background1"/>
        <w:spacing w:after="0" w:line="240" w:lineRule="auto"/>
        <w:ind w:left="408" w:hanging="408"/>
        <w:jc w:val="both"/>
        <w:rPr>
          <w:rFonts w:ascii="Arial" w:eastAsia="Times New Roman" w:hAnsi="Arial" w:cs="Arial"/>
          <w:lang w:eastAsia="pl-PL"/>
        </w:rPr>
      </w:pPr>
      <w:r w:rsidRPr="003C160C">
        <w:rPr>
          <w:rFonts w:ascii="Arial" w:eastAsia="Times New Roman" w:hAnsi="Arial" w:cs="Arial"/>
          <w:lang w:eastAsia="pl-PL"/>
        </w:rPr>
        <w:t>2)  cechować się jednoznacznością i zwięzłością.</w:t>
      </w:r>
    </w:p>
    <w:p w:rsidR="004F4812" w:rsidRDefault="004F4812" w:rsidP="004F4812">
      <w:pPr>
        <w:shd w:val="clear" w:color="auto" w:fill="FFFFFF" w:themeFill="background1"/>
        <w:spacing w:after="0" w:line="240" w:lineRule="auto"/>
        <w:ind w:firstLine="431"/>
        <w:jc w:val="both"/>
        <w:rPr>
          <w:rFonts w:ascii="Arial" w:eastAsia="Times New Roman" w:hAnsi="Arial" w:cs="Arial"/>
          <w:lang w:eastAsia="pl-PL"/>
        </w:rPr>
      </w:pPr>
      <w:r w:rsidRPr="003C160C">
        <w:rPr>
          <w:rFonts w:ascii="Arial" w:eastAsia="Times New Roman" w:hAnsi="Arial" w:cs="Arial"/>
          <w:lang w:eastAsia="pl-PL"/>
        </w:rPr>
        <w:t>Wpisów</w:t>
      </w:r>
      <w:r>
        <w:rPr>
          <w:rFonts w:ascii="Arial" w:eastAsia="Times New Roman" w:hAnsi="Arial" w:cs="Arial"/>
          <w:lang w:eastAsia="pl-PL"/>
        </w:rPr>
        <w:t xml:space="preserve"> </w:t>
      </w:r>
      <w:r w:rsidRPr="003C160C">
        <w:rPr>
          <w:rFonts w:ascii="Arial" w:eastAsia="Times New Roman" w:hAnsi="Arial" w:cs="Arial"/>
          <w:lang w:eastAsia="pl-PL"/>
        </w:rPr>
        <w:t>dokonuje właściciel lub zarządca obiektu albo osoba upoważniona przez właściciela lub zarządcę.</w:t>
      </w:r>
      <w:r>
        <w:rPr>
          <w:rFonts w:ascii="Arial" w:eastAsia="Times New Roman" w:hAnsi="Arial" w:cs="Arial"/>
          <w:lang w:eastAsia="pl-PL"/>
        </w:rPr>
        <w:t xml:space="preserve"> </w:t>
      </w:r>
      <w:r w:rsidRPr="003C160C">
        <w:rPr>
          <w:rFonts w:ascii="Arial" w:eastAsia="Times New Roman" w:hAnsi="Arial" w:cs="Arial"/>
          <w:lang w:eastAsia="pl-PL"/>
        </w:rPr>
        <w:t>Sprostowania błędów we wpisach dokonuje się przez przekreślenie wyrazów pojedynczą linią oraz umieszczenie daty i podpisu osoby dokonującej zmiany.</w:t>
      </w:r>
    </w:p>
    <w:p w:rsidR="004F4812" w:rsidRPr="003C160C" w:rsidRDefault="004F4812" w:rsidP="004F4812">
      <w:pPr>
        <w:shd w:val="clear" w:color="auto" w:fill="FFFFFF" w:themeFill="background1"/>
        <w:spacing w:before="240"/>
        <w:rPr>
          <w:rFonts w:ascii="Calibri" w:eastAsia="Times New Roman" w:hAnsi="Calibri" w:cs="Times New Roman"/>
          <w:lang w:eastAsia="pl-PL"/>
        </w:rPr>
      </w:pPr>
      <w:r>
        <w:rPr>
          <w:rFonts w:ascii="Arial" w:eastAsia="Times New Roman" w:hAnsi="Arial" w:cs="Arial"/>
          <w:lang w:eastAsia="pl-PL"/>
        </w:rPr>
        <w:t xml:space="preserve">WZÓR KSIĄŻKI OBIEKTU BUDOWLANEGO reguluje </w:t>
      </w:r>
      <w:r w:rsidRPr="00B367B2">
        <w:rPr>
          <w:rFonts w:ascii="Calibri" w:eastAsia="Times New Roman" w:hAnsi="Calibri" w:cs="Times New Roman"/>
          <w:lang w:eastAsia="pl-PL"/>
        </w:rPr>
        <w:t>ROZPORZĄDZENIE</w:t>
      </w:r>
      <w:r>
        <w:rPr>
          <w:rFonts w:ascii="Calibri" w:eastAsia="Times New Roman" w:hAnsi="Calibri" w:cs="Times New Roman"/>
          <w:lang w:eastAsia="pl-PL"/>
        </w:rPr>
        <w:t xml:space="preserve"> </w:t>
      </w:r>
      <w:r w:rsidRPr="003C160C">
        <w:rPr>
          <w:rFonts w:ascii="Calibri" w:eastAsia="Times New Roman" w:hAnsi="Calibri" w:cs="Times New Roman"/>
          <w:lang w:eastAsia="pl-PL"/>
        </w:rPr>
        <w:t>MINISTRA INFRASTRUKTURY</w:t>
      </w:r>
      <w:r w:rsidRPr="003C160C">
        <w:rPr>
          <w:rFonts w:ascii="Calibri" w:eastAsia="Times New Roman" w:hAnsi="Calibri" w:cs="Times New Roman"/>
          <w:vertAlign w:val="superscript"/>
          <w:lang w:eastAsia="pl-PL"/>
        </w:rPr>
        <w:t>1)</w:t>
      </w:r>
      <w:r>
        <w:rPr>
          <w:rFonts w:ascii="Calibri" w:eastAsia="Times New Roman" w:hAnsi="Calibri" w:cs="Times New Roman"/>
          <w:lang w:eastAsia="pl-PL"/>
        </w:rPr>
        <w:t xml:space="preserve"> </w:t>
      </w:r>
      <w:r w:rsidRPr="003C160C">
        <w:rPr>
          <w:rFonts w:ascii="Calibri" w:eastAsia="Times New Roman" w:hAnsi="Calibri" w:cs="Times New Roman"/>
          <w:lang w:eastAsia="pl-PL"/>
        </w:rPr>
        <w:t>z dnia 3 lipca 2003 r.</w:t>
      </w:r>
      <w:r>
        <w:rPr>
          <w:rFonts w:ascii="Calibri" w:eastAsia="Times New Roman" w:hAnsi="Calibri" w:cs="Times New Roman"/>
          <w:lang w:eastAsia="pl-PL"/>
        </w:rPr>
        <w:t xml:space="preserve"> </w:t>
      </w:r>
      <w:r w:rsidRPr="003C160C">
        <w:rPr>
          <w:rFonts w:ascii="Calibri" w:eastAsia="Times New Roman" w:hAnsi="Calibri" w:cs="Times New Roman"/>
          <w:lang w:eastAsia="pl-PL"/>
        </w:rPr>
        <w:t>w sprawie książki obiektu budowlanego</w:t>
      </w:r>
      <w:r>
        <w:rPr>
          <w:rFonts w:ascii="Calibri" w:eastAsia="Times New Roman" w:hAnsi="Calibri" w:cs="Times New Roman"/>
          <w:lang w:eastAsia="pl-PL"/>
        </w:rPr>
        <w:t>.</w:t>
      </w:r>
    </w:p>
    <w:p w:rsidR="004F4812" w:rsidRPr="003C160C" w:rsidRDefault="004F4812" w:rsidP="004F4812">
      <w:pPr>
        <w:shd w:val="clear" w:color="auto" w:fill="FFFFFF" w:themeFill="background1"/>
        <w:spacing w:after="0" w:line="240" w:lineRule="auto"/>
        <w:ind w:firstLine="431"/>
        <w:jc w:val="both"/>
        <w:rPr>
          <w:rFonts w:ascii="Arial" w:eastAsia="Times New Roman" w:hAnsi="Arial" w:cs="Arial"/>
          <w:lang w:eastAsia="pl-PL"/>
        </w:rPr>
      </w:pPr>
    </w:p>
    <w:p w:rsidR="004F4812" w:rsidRDefault="004F4812" w:rsidP="004F4812">
      <w:bookmarkStart w:id="0" w:name="_GoBack"/>
      <w:bookmarkEnd w:id="0"/>
    </w:p>
    <w:p w:rsidR="00C15A15" w:rsidRDefault="00C15A15"/>
    <w:sectPr w:rsidR="00C15A15" w:rsidSect="00A72D45">
      <w:pgSz w:w="11906" w:h="16838"/>
      <w:pgMar w:top="1418" w:right="119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altName w:val="Tahoma"/>
    <w:charset w:val="EE"/>
    <w:family w:val="swiss"/>
    <w:pitch w:val="variable"/>
    <w:sig w:usb0="00000001" w:usb1="4000205B" w:usb2="00000028"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021F2"/>
    <w:multiLevelType w:val="multilevel"/>
    <w:tmpl w:val="0D7CA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C381B"/>
    <w:multiLevelType w:val="multilevel"/>
    <w:tmpl w:val="411097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EA45159"/>
    <w:multiLevelType w:val="multilevel"/>
    <w:tmpl w:val="113800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A15845"/>
    <w:multiLevelType w:val="multilevel"/>
    <w:tmpl w:val="496E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D34F29"/>
    <w:multiLevelType w:val="multilevel"/>
    <w:tmpl w:val="6148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C016D6"/>
    <w:multiLevelType w:val="multilevel"/>
    <w:tmpl w:val="67A0D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901E0C"/>
    <w:multiLevelType w:val="multilevel"/>
    <w:tmpl w:val="DB24A9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6914BA"/>
    <w:multiLevelType w:val="multilevel"/>
    <w:tmpl w:val="A59A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0B444C"/>
    <w:multiLevelType w:val="multilevel"/>
    <w:tmpl w:val="9B22D1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7BE671A6"/>
    <w:multiLevelType w:val="multilevel"/>
    <w:tmpl w:val="6172E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7"/>
  </w:num>
  <w:num w:numId="4">
    <w:abstractNumId w:val="3"/>
  </w:num>
  <w:num w:numId="5">
    <w:abstractNumId w:val="0"/>
  </w:num>
  <w:num w:numId="6">
    <w:abstractNumId w:val="8"/>
  </w:num>
  <w:num w:numId="7">
    <w:abstractNumId w:val="6"/>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A15"/>
    <w:rsid w:val="00094AEF"/>
    <w:rsid w:val="00321D1F"/>
    <w:rsid w:val="00325467"/>
    <w:rsid w:val="004F4812"/>
    <w:rsid w:val="00683405"/>
    <w:rsid w:val="007E56D7"/>
    <w:rsid w:val="00A72D45"/>
    <w:rsid w:val="00B34358"/>
    <w:rsid w:val="00C15A15"/>
    <w:rsid w:val="00DD2A31"/>
    <w:rsid w:val="00FA44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8B1A2D-FAD8-4AE3-9555-EEF93660B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340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C15A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5A15"/>
    <w:rPr>
      <w:rFonts w:ascii="Tahoma" w:hAnsi="Tahoma" w:cs="Tahoma"/>
      <w:sz w:val="16"/>
      <w:szCs w:val="16"/>
    </w:rPr>
  </w:style>
  <w:style w:type="paragraph" w:styleId="NormalnyWeb">
    <w:name w:val="Normal (Web)"/>
    <w:basedOn w:val="Normalny"/>
    <w:uiPriority w:val="99"/>
    <w:semiHidden/>
    <w:unhideWhenUsed/>
    <w:rsid w:val="00B3435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343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014791">
      <w:bodyDiv w:val="1"/>
      <w:marLeft w:val="0"/>
      <w:marRight w:val="0"/>
      <w:marTop w:val="0"/>
      <w:marBottom w:val="0"/>
      <w:divBdr>
        <w:top w:val="none" w:sz="0" w:space="0" w:color="auto"/>
        <w:left w:val="none" w:sz="0" w:space="0" w:color="auto"/>
        <w:bottom w:val="none" w:sz="0" w:space="0" w:color="auto"/>
        <w:right w:val="none" w:sz="0" w:space="0" w:color="auto"/>
      </w:divBdr>
      <w:divsChild>
        <w:div w:id="154332157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2698</Words>
  <Characters>16188</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c:creator>
  <cp:keywords/>
  <dc:description/>
  <cp:lastModifiedBy>Uczeń</cp:lastModifiedBy>
  <cp:revision>2</cp:revision>
  <dcterms:created xsi:type="dcterms:W3CDTF">2020-10-29T13:15:00Z</dcterms:created>
  <dcterms:modified xsi:type="dcterms:W3CDTF">2020-10-29T13:15:00Z</dcterms:modified>
</cp:coreProperties>
</file>