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A77" w:rsidRPr="005E16BB" w:rsidRDefault="00C2215B">
      <w:pPr>
        <w:rPr>
          <w:rFonts w:ascii="Arial" w:hAnsi="Arial" w:cs="Arial"/>
          <w:b/>
          <w:sz w:val="26"/>
          <w:szCs w:val="26"/>
        </w:rPr>
      </w:pPr>
      <w:r w:rsidRPr="005E16BB">
        <w:rPr>
          <w:rFonts w:ascii="Arial" w:hAnsi="Arial" w:cs="Arial"/>
          <w:b/>
          <w:sz w:val="26"/>
          <w:szCs w:val="26"/>
        </w:rPr>
        <w:t>Techniczne bezpieczeństwo pracy - Semestr I BHP</w:t>
      </w:r>
    </w:p>
    <w:p w:rsidR="00C2215B" w:rsidRPr="005E16BB" w:rsidRDefault="00C2215B">
      <w:pPr>
        <w:rPr>
          <w:rFonts w:ascii="Arial" w:hAnsi="Arial" w:cs="Arial"/>
          <w:b/>
          <w:sz w:val="26"/>
          <w:szCs w:val="26"/>
        </w:rPr>
      </w:pPr>
      <w:r w:rsidRPr="005E16BB">
        <w:rPr>
          <w:rFonts w:ascii="Arial" w:hAnsi="Arial" w:cs="Arial"/>
          <w:b/>
          <w:sz w:val="26"/>
          <w:szCs w:val="26"/>
        </w:rPr>
        <w:t>25.10.2020</w:t>
      </w:r>
    </w:p>
    <w:p w:rsidR="00C2215B" w:rsidRPr="005E16BB" w:rsidRDefault="00C2215B">
      <w:pPr>
        <w:rPr>
          <w:rFonts w:ascii="Arial" w:hAnsi="Arial" w:cs="Arial"/>
          <w:b/>
          <w:sz w:val="26"/>
          <w:szCs w:val="26"/>
        </w:rPr>
      </w:pPr>
      <w:r w:rsidRPr="005E16BB">
        <w:rPr>
          <w:rFonts w:ascii="Arial" w:hAnsi="Arial" w:cs="Arial"/>
          <w:b/>
          <w:sz w:val="26"/>
          <w:szCs w:val="26"/>
        </w:rPr>
        <w:t>Temat 1: Opiniowanie dokumentacji projektowej.</w:t>
      </w:r>
    </w:p>
    <w:p w:rsidR="00C2215B" w:rsidRPr="00C2215B" w:rsidRDefault="00C2215B" w:rsidP="00C2215B">
      <w:pPr>
        <w:shd w:val="clear" w:color="auto" w:fill="FFFFFF" w:themeFill="background1"/>
        <w:spacing w:after="75" w:line="240" w:lineRule="auto"/>
        <w:jc w:val="center"/>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Rozporządzenie Ministra Spraw Wewnętrznych i Administracji w sprawie uzgadniania projektu budowlanego pod względem ochrony przeciwpożarowej z dnia 2 grudnia 2015 r. (</w:t>
      </w:r>
      <w:proofErr w:type="spellStart"/>
      <w:r w:rsidRPr="00C2215B">
        <w:rPr>
          <w:rFonts w:ascii="Arial" w:eastAsia="Times New Roman" w:hAnsi="Arial" w:cs="Arial"/>
          <w:b/>
          <w:bCs/>
          <w:sz w:val="24"/>
          <w:szCs w:val="24"/>
          <w:lang w:eastAsia="pl-PL"/>
        </w:rPr>
        <w:t>Dz.U</w:t>
      </w:r>
      <w:proofErr w:type="spellEnd"/>
      <w:r w:rsidRPr="00C2215B">
        <w:rPr>
          <w:rFonts w:ascii="Arial" w:eastAsia="Times New Roman" w:hAnsi="Arial" w:cs="Arial"/>
          <w:b/>
          <w:bCs/>
          <w:sz w:val="24"/>
          <w:szCs w:val="24"/>
          <w:lang w:eastAsia="pl-PL"/>
        </w:rPr>
        <w:t>. z 2015 r. poz. 2117)</w:t>
      </w:r>
    </w:p>
    <w:p w:rsidR="00C2215B" w:rsidRPr="00C2215B" w:rsidRDefault="00C2215B" w:rsidP="00C2215B">
      <w:pPr>
        <w:shd w:val="clear" w:color="auto" w:fill="FFFFFF" w:themeFill="background1"/>
        <w:spacing w:after="0" w:line="240" w:lineRule="auto"/>
        <w:rPr>
          <w:rFonts w:ascii="Arial" w:eastAsia="Times New Roman" w:hAnsi="Arial" w:cs="Arial"/>
          <w:sz w:val="24"/>
          <w:szCs w:val="24"/>
          <w:lang w:eastAsia="pl-PL"/>
        </w:rPr>
      </w:pPr>
      <w:r w:rsidRPr="00C2215B">
        <w:rPr>
          <w:rFonts w:ascii="Arial" w:eastAsia="Times New Roman" w:hAnsi="Arial" w:cs="Arial"/>
          <w:sz w:val="24"/>
          <w:szCs w:val="24"/>
          <w:lang w:eastAsia="pl-PL"/>
        </w:rPr>
        <w:t>Na podstawie art. 6g ustawy z dnia 24 sierpnia 1991 r. o ochronie przeciwpożarowej (</w:t>
      </w:r>
      <w:proofErr w:type="spellStart"/>
      <w:r w:rsidRPr="00C2215B">
        <w:rPr>
          <w:rFonts w:ascii="Arial" w:eastAsia="Times New Roman" w:hAnsi="Arial" w:cs="Arial"/>
          <w:sz w:val="24"/>
          <w:szCs w:val="24"/>
          <w:lang w:eastAsia="pl-PL"/>
        </w:rPr>
        <w:t>Dz.U</w:t>
      </w:r>
      <w:proofErr w:type="spellEnd"/>
      <w:r w:rsidRPr="00C2215B">
        <w:rPr>
          <w:rFonts w:ascii="Arial" w:eastAsia="Times New Roman" w:hAnsi="Arial" w:cs="Arial"/>
          <w:sz w:val="24"/>
          <w:szCs w:val="24"/>
          <w:lang w:eastAsia="pl-PL"/>
        </w:rPr>
        <w:t>. z 2009 r. Nr 178, poz. 1380, z </w:t>
      </w:r>
      <w:proofErr w:type="spellStart"/>
      <w:r w:rsidRPr="00C2215B">
        <w:rPr>
          <w:rFonts w:ascii="Arial" w:eastAsia="Times New Roman" w:hAnsi="Arial" w:cs="Arial"/>
          <w:sz w:val="24"/>
          <w:szCs w:val="24"/>
          <w:lang w:eastAsia="pl-PL"/>
        </w:rPr>
        <w:t>późn</w:t>
      </w:r>
      <w:proofErr w:type="spellEnd"/>
      <w:r w:rsidRPr="00C2215B">
        <w:rPr>
          <w:rFonts w:ascii="Arial" w:eastAsia="Times New Roman" w:hAnsi="Arial" w:cs="Arial"/>
          <w:sz w:val="24"/>
          <w:szCs w:val="24"/>
          <w:lang w:eastAsia="pl-PL"/>
        </w:rPr>
        <w:t>. zm.</w:t>
      </w:r>
      <w:r w:rsidRPr="005E16BB">
        <w:rPr>
          <w:rFonts w:ascii="Arial" w:eastAsia="Times New Roman" w:hAnsi="Arial" w:cs="Arial"/>
          <w:i/>
          <w:iCs/>
          <w:sz w:val="24"/>
          <w:szCs w:val="24"/>
          <w:vertAlign w:val="superscript"/>
          <w:lang w:eastAsia="pl-PL"/>
        </w:rPr>
        <w:t>1)</w:t>
      </w:r>
      <w:r w:rsidRPr="00C2215B">
        <w:rPr>
          <w:rFonts w:ascii="Arial" w:eastAsia="Times New Roman" w:hAnsi="Arial" w:cs="Arial"/>
          <w:sz w:val="24"/>
          <w:szCs w:val="24"/>
          <w:lang w:eastAsia="pl-PL"/>
        </w:rPr>
        <w:t>) zarządza się, co następuje:</w:t>
      </w:r>
    </w:p>
    <w:p w:rsidR="00C2215B" w:rsidRPr="00C2215B" w:rsidRDefault="00C2215B" w:rsidP="00C2215B">
      <w:pPr>
        <w:shd w:val="clear" w:color="auto" w:fill="FFFFFF" w:themeFill="background1"/>
        <w:spacing w:after="75" w:line="240" w:lineRule="auto"/>
        <w:rPr>
          <w:rFonts w:ascii="Arial" w:eastAsia="Times New Roman" w:hAnsi="Arial" w:cs="Arial"/>
          <w:sz w:val="24"/>
          <w:szCs w:val="24"/>
          <w:lang w:eastAsia="pl-PL"/>
        </w:rPr>
      </w:pPr>
      <w:r w:rsidRPr="005E16BB">
        <w:rPr>
          <w:rFonts w:ascii="Arial" w:eastAsia="Times New Roman" w:hAnsi="Arial" w:cs="Arial"/>
          <w:b/>
          <w:bCs/>
          <w:sz w:val="24"/>
          <w:szCs w:val="24"/>
          <w:lang w:eastAsia="pl-PL"/>
        </w:rPr>
        <w:t>§ 1 </w:t>
      </w:r>
      <w:r w:rsidRPr="00C2215B">
        <w:rPr>
          <w:rFonts w:ascii="Arial" w:eastAsia="Times New Roman" w:hAnsi="Arial" w:cs="Arial"/>
          <w:sz w:val="24"/>
          <w:szCs w:val="24"/>
          <w:lang w:eastAsia="pl-PL"/>
        </w:rPr>
        <w:t>Rozporządzenie określa:</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rodzaje obiektów budowlanych istotnych ze względu na konieczność zapewnienia ochrony życia, zdrowia, mienia lub środowiska przed pożarem, klęską żywiołową lub innym miejscowym zagrożeniem, których projekty budowlane wymagają uzgodnienia pod względem zgodności z wymaganiami ochrony przeciwpożarowej, zwanego dalej „uzgodnieniem”;</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podstawowe dane dotyczące warunków ochrony przeciwpożarowej obiektu budowlanego, które powinny stanowić podstawę uzgodnienia;</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szczegółowy sposób dokonywania uzgodnień projektu budowlanego;</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4)</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wzór pieczęci potwierdzającej uzgodnienie projektu budowlanego obiektu budowlanego;</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5)</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sposób i zakres zawiadomienia o uzgodnieniu projektu budowlanego.</w:t>
      </w:r>
    </w:p>
    <w:p w:rsidR="00C2215B" w:rsidRPr="005E16BB" w:rsidRDefault="00C2215B" w:rsidP="00C2215B">
      <w:pPr>
        <w:shd w:val="clear" w:color="auto" w:fill="FFFFFF" w:themeFill="background1"/>
        <w:spacing w:after="75" w:line="240" w:lineRule="auto"/>
        <w:rPr>
          <w:rFonts w:ascii="Arial" w:eastAsia="Times New Roman" w:hAnsi="Arial" w:cs="Arial"/>
          <w:b/>
          <w:bCs/>
          <w:sz w:val="24"/>
          <w:szCs w:val="24"/>
          <w:lang w:eastAsia="pl-PL"/>
        </w:rPr>
      </w:pPr>
    </w:p>
    <w:p w:rsidR="00C2215B" w:rsidRPr="00C2215B" w:rsidRDefault="00C2215B" w:rsidP="005E16BB">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Podstawę uzgodnienia stanowią dane niezbędne do stwierdzenia zgodności z wymaganiami ochrony przeciwpożarowej, dotyczące warunków ochrony przeciwpożarowej obiektu budowlanego, zależne od przeznaczenia, sposobu użytkowania, prowadzonego procesu technologicznego, sposobu magazynowania lub składowania, występujących w obiekcie budowlanym zagrożeń pożarowych oraz warunków technicznych obiektu budowlanego, obejmujące w szczególności:</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powierzchni, wysokości i liczbie kondygnacji;</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charakterystykę zagrożenia pożarowego, w tym parametry pożarowe materiałów niebezpiecznych pożarowo, zagrożenia wynikające z procesów technologicznych oraz w zależności od potrzeb charakterystykę pożarów przyjętych do celów projektowych;</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kategorii zagrożenia ludzi oraz przewidywanej liczbie osób na każdej kondygnacji i w pomieszczeniach, których drzwi ewakuacyjne powinny otwierać się na zewnątrz pomieszczeń;</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4)</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przewidywanej gęstości obciążenia ogniowego;</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5)</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ocenę zagrożenia wybuchem pomieszczeń oraz przestrzeni zewnętrznych;</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6)</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klasie odporności pożarowej oraz klasie odporności ogniowej i stopniu rozprzestrzeniania ognia elementów budowlanych;</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7)</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podziale na strefy pożarowe oraz strefy dymowe;</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8)</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usytuowaniu z uwagi na bezpieczeństwo pożarowe, w tym o odległości od obiektów sąsiadujących;</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9)</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warunkach i strategii ewakuacji ludzi lub ich uratowania w inny sposób;</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lastRenderedPageBreak/>
        <w:t>10)</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sposobie zabezpieczenia przeciwpożarowego instalacji użytkowych, a w szczególności wentylacyjnej, ogrzewczej, gazowej, elektrycznej, teletechnicznej i piorunochronnej;</w:t>
      </w:r>
    </w:p>
    <w:p w:rsidR="00C2215B" w:rsidRPr="00C2215B" w:rsidRDefault="00C2215B" w:rsidP="005E16BB">
      <w:pPr>
        <w:shd w:val="clear" w:color="auto" w:fill="FFFFFF" w:themeFill="background1"/>
        <w:spacing w:after="0" w:line="240" w:lineRule="auto"/>
        <w:jc w:val="both"/>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doborze urządzeń przeciwpożarowych i innych urządzeń służących bezpieczeństwu pożarowemu, dostosowanym do wymagań wynikających z przepisów dotyczących ochrony przeciwpożarowej i przyjętych scenariuszy pożarowych, z podstawową charakterystyką tych urządzeń;</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wyposażeniu w gaśnice;</w:t>
      </w:r>
    </w:p>
    <w:p w:rsidR="00C2215B" w:rsidRPr="00C2215B" w:rsidRDefault="00C2215B" w:rsidP="005E16BB">
      <w:pPr>
        <w:shd w:val="clear" w:color="auto" w:fill="FFFFFF" w:themeFill="background1"/>
        <w:spacing w:after="0" w:line="240" w:lineRule="auto"/>
        <w:jc w:val="both"/>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przygotowaniu obiektu budowlanego i terenu do prowadzenia działań ratowniczo -gaśniczych, a w szczególności informacje o drogach pożarowych, zaopatrzeniu w wodę do zewnętrznego gaszenia pożaru oraz o sprzęcie służącym do tych działań.</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p>
    <w:p w:rsidR="00C2215B" w:rsidRPr="00C2215B" w:rsidRDefault="00C2215B" w:rsidP="005E16BB">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Dane dotyczące warunków ochrony przeciwpożarowej przedstawia się w projekcie budowlanym w całości lub w części, w zależności od rodzaju rozwiązania zasadniczych elementów wyposażenia budowlano -instalacyjnego i od zakresu ich występowania w obiekcie budowlanym.</w:t>
      </w:r>
    </w:p>
    <w:p w:rsidR="00C2215B" w:rsidRPr="00C2215B" w:rsidRDefault="00C2215B" w:rsidP="005E16BB">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Uzgodnienia projektu budowlanego dokonuje się w toku wzajemnej współpracy projektanta z rzeczoznawcą do spraw zabezpieczeń przeciwpożarowych w trakcie sporządzania przez projektanta projektu budowlanego polegającej na:</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konsultacji rozwiązań projektowych w zakresie oceny ich zgodności z wymaganiami ochrony przeciwpożarowej;</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wymianie uwag i stanowisk w zakresie projektowanych technicznych środków zabezpieczenia przeciwpożarowego;</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opracowaniu scenariusza pożarowego dla obiektu budowlanego objętego obowiązkiem stosowania systemu sygnalizacji pożarowej.</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p>
    <w:p w:rsidR="00C2215B" w:rsidRPr="00C2215B" w:rsidRDefault="00C2215B" w:rsidP="005E16BB">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Odcisk pieczęci i podpis rzeczoznawcy do spraw zabezpieczeń przeciwpożarowych, potwierdzające uzgodnienie projektu budowlanego, umieszcza się na częściach rysunkowych egzemplarzy projektu budowlanego przedstawiających:</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rzut kondygnacji podstawowej obiektu budowlanego;</w:t>
      </w:r>
    </w:p>
    <w:p w:rsidR="00C2215B" w:rsidRPr="00C2215B" w:rsidRDefault="00C2215B" w:rsidP="005E16BB">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005E16BB"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zagospodarowanie działki lub terenu, sporządzone na kopii mapy do celów projektowych.</w:t>
      </w:r>
    </w:p>
    <w:p w:rsidR="00C2215B" w:rsidRPr="00C2215B" w:rsidRDefault="00C2215B" w:rsidP="00C2215B">
      <w:pPr>
        <w:shd w:val="clear" w:color="auto" w:fill="FFFFFF" w:themeFill="background1"/>
        <w:spacing w:after="0" w:line="240" w:lineRule="auto"/>
        <w:rPr>
          <w:rFonts w:ascii="Arial" w:eastAsia="Times New Roman" w:hAnsi="Arial" w:cs="Arial"/>
          <w:b/>
          <w:bCs/>
          <w:sz w:val="24"/>
          <w:szCs w:val="24"/>
          <w:lang w:eastAsia="pl-PL"/>
        </w:rPr>
      </w:pPr>
    </w:p>
    <w:p w:rsidR="00C2215B" w:rsidRPr="00C2215B" w:rsidRDefault="00C2215B" w:rsidP="005E16BB">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Uwagi do projektu budowlanego umieszcza się w sposób czytelny pod odciskiem pieczęci uzgadniającej projekt budowlany, a w przypadku braku miejsca - na odwrocie części rysunkowej, umieszczając pod odciskiem pieczęci uzgadniającej projekt budowlany adnotację „verte”. Pod uwagami na odwrocie części rysunkowej umieszcza się datę, podpis i pieczęć identyfikującą rzeczoznawcę do spraw zabezpieczeń przeciwpożarowych.</w:t>
      </w:r>
    </w:p>
    <w:p w:rsidR="00C2215B" w:rsidRPr="00C2215B" w:rsidRDefault="00C2215B">
      <w:pPr>
        <w:rPr>
          <w:b/>
          <w:sz w:val="26"/>
          <w:szCs w:val="26"/>
        </w:rPr>
      </w:pPr>
    </w:p>
    <w:p w:rsidR="00C2215B" w:rsidRPr="005E16BB" w:rsidRDefault="00C2215B">
      <w:pPr>
        <w:rPr>
          <w:rFonts w:ascii="Arial" w:hAnsi="Arial" w:cs="Arial"/>
          <w:b/>
          <w:sz w:val="26"/>
          <w:szCs w:val="26"/>
        </w:rPr>
      </w:pPr>
      <w:r w:rsidRPr="005E16BB">
        <w:rPr>
          <w:rFonts w:ascii="Arial" w:hAnsi="Arial" w:cs="Arial"/>
          <w:b/>
          <w:sz w:val="26"/>
          <w:szCs w:val="26"/>
        </w:rPr>
        <w:t>Temat 2: Oddanie obiektu do użytkowania.</w:t>
      </w:r>
    </w:p>
    <w:p w:rsidR="005E16BB" w:rsidRPr="005E16BB" w:rsidRDefault="005E16BB" w:rsidP="005E16BB">
      <w:pPr>
        <w:jc w:val="both"/>
        <w:rPr>
          <w:rFonts w:ascii="Arial" w:hAnsi="Arial" w:cs="Arial"/>
          <w:sz w:val="24"/>
          <w:szCs w:val="24"/>
          <w:shd w:val="clear" w:color="auto" w:fill="FFFFFF"/>
        </w:rPr>
      </w:pPr>
      <w:r w:rsidRPr="005E16BB">
        <w:rPr>
          <w:rFonts w:ascii="Arial" w:hAnsi="Arial" w:cs="Arial"/>
          <w:color w:val="444444"/>
          <w:sz w:val="24"/>
          <w:szCs w:val="24"/>
          <w:shd w:val="clear" w:color="auto" w:fill="FFFFFF"/>
        </w:rPr>
        <w:t>Zasadą ustanowioną w art. 54 ustawy z dnia 7 lipca 1994 r. - Prawo budowlane (Dz. U. z 2016 r., poz. 290), dalej: „PB” jest </w:t>
      </w:r>
      <w:r w:rsidRPr="005E16BB">
        <w:rPr>
          <w:rStyle w:val="Pogrubienie"/>
          <w:rFonts w:ascii="Arial" w:hAnsi="Arial" w:cs="Arial"/>
          <w:color w:val="444444"/>
          <w:sz w:val="24"/>
          <w:szCs w:val="24"/>
          <w:bdr w:val="none" w:sz="0" w:space="0" w:color="auto" w:frame="1"/>
          <w:shd w:val="clear" w:color="auto" w:fill="FFFFFF"/>
        </w:rPr>
        <w:t>możliwość przystąpienia do użytkowania obiektu budowlanego, dopiero po zawiadomieniu właściwego organu nadzoru budowlanego o zakończeniu budowy przez inwestora.</w:t>
      </w:r>
      <w:r w:rsidRPr="005E16BB">
        <w:rPr>
          <w:rFonts w:ascii="Arial" w:hAnsi="Arial" w:cs="Arial"/>
          <w:color w:val="444444"/>
          <w:sz w:val="24"/>
          <w:szCs w:val="24"/>
          <w:shd w:val="clear" w:color="auto" w:fill="FFFFFF"/>
        </w:rPr>
        <w:t xml:space="preserve"> Powyższa zasada odnosi się do obiektu budowlanego, na wzniesienie którego było potrzebne uprzednie </w:t>
      </w:r>
      <w:r w:rsidRPr="005E16BB">
        <w:rPr>
          <w:rFonts w:ascii="Arial" w:hAnsi="Arial" w:cs="Arial"/>
          <w:sz w:val="24"/>
          <w:szCs w:val="24"/>
          <w:shd w:val="clear" w:color="auto" w:fill="FFFFFF"/>
        </w:rPr>
        <w:lastRenderedPageBreak/>
        <w:t xml:space="preserve">uzyskanie pozwolenia na budowę albo zgłoszenie budowy wolno stojących budynków mieszkalnych jednorodzinnych, których obszar oddziaływania mieści się w całości na działce lub działkach, a także budowy sieci elektroenergetycznych, obejmujących napięcie znamionowe nie wyższe niż 1 </w:t>
      </w:r>
      <w:proofErr w:type="spellStart"/>
      <w:r w:rsidRPr="005E16BB">
        <w:rPr>
          <w:rFonts w:ascii="Arial" w:hAnsi="Arial" w:cs="Arial"/>
          <w:sz w:val="24"/>
          <w:szCs w:val="24"/>
          <w:shd w:val="clear" w:color="auto" w:fill="FFFFFF"/>
        </w:rPr>
        <w:t>kV</w:t>
      </w:r>
      <w:proofErr w:type="spellEnd"/>
      <w:r w:rsidRPr="005E16BB">
        <w:rPr>
          <w:rFonts w:ascii="Arial" w:hAnsi="Arial" w:cs="Arial"/>
          <w:sz w:val="24"/>
          <w:szCs w:val="24"/>
          <w:shd w:val="clear" w:color="auto" w:fill="FFFFFF"/>
        </w:rPr>
        <w:t>, sieci wodociągowych, kanalizacyjnych, cieplnych oraz telekomunikacyjnych.</w:t>
      </w:r>
    </w:p>
    <w:p w:rsidR="005E16BB" w:rsidRPr="005E16BB" w:rsidRDefault="005E16BB" w:rsidP="005E16BB">
      <w:pPr>
        <w:jc w:val="both"/>
        <w:rPr>
          <w:rFonts w:ascii="Arial" w:hAnsi="Arial" w:cs="Arial"/>
          <w:sz w:val="24"/>
          <w:szCs w:val="24"/>
          <w:shd w:val="clear" w:color="auto" w:fill="FFFFFF"/>
        </w:rPr>
      </w:pPr>
      <w:r w:rsidRPr="005E16BB">
        <w:rPr>
          <w:rFonts w:ascii="Arial" w:hAnsi="Arial" w:cs="Arial"/>
          <w:sz w:val="24"/>
          <w:szCs w:val="24"/>
          <w:shd w:val="clear" w:color="auto" w:fill="FFFFFF"/>
        </w:rPr>
        <w:t>Przepis ten ma zatem zastosowanie tylko w przypadku zakończenia budowy, nie zaś przy prowadzeniu innych robót budowlanych. Ponadto, nie stosuje się go w sytuacji zakończenia budowy obiektów budowlanych, które nie wymagały uprzedniego uzyskania pozwolenia na budowę, a były objęte jedynie obowiązkiem zgłoszenia,</w:t>
      </w:r>
      <w:r>
        <w:rPr>
          <w:rFonts w:ascii="Arial" w:hAnsi="Arial" w:cs="Arial"/>
          <w:sz w:val="24"/>
          <w:szCs w:val="24"/>
          <w:shd w:val="clear" w:color="auto" w:fill="FFFFFF"/>
        </w:rPr>
        <w:br/>
      </w:r>
      <w:r w:rsidRPr="005E16BB">
        <w:rPr>
          <w:rFonts w:ascii="Arial" w:hAnsi="Arial" w:cs="Arial"/>
          <w:sz w:val="24"/>
          <w:szCs w:val="24"/>
          <w:shd w:val="clear" w:color="auto" w:fill="FFFFFF"/>
        </w:rPr>
        <w:t>z wyjątkiem przypadków wyszczególnionych w powyższym akapicie.</w:t>
      </w:r>
    </w:p>
    <w:p w:rsidR="005E16BB" w:rsidRDefault="005E16BB" w:rsidP="005E16BB">
      <w:pPr>
        <w:jc w:val="both"/>
        <w:rPr>
          <w:rStyle w:val="Pogrubienie"/>
          <w:rFonts w:ascii="Arial" w:hAnsi="Arial" w:cs="Arial"/>
          <w:b w:val="0"/>
          <w:sz w:val="24"/>
          <w:szCs w:val="24"/>
          <w:bdr w:val="none" w:sz="0" w:space="0" w:color="auto" w:frame="1"/>
          <w:shd w:val="clear" w:color="auto" w:fill="FFFFFF"/>
        </w:rPr>
      </w:pPr>
      <w:r w:rsidRPr="005E16BB">
        <w:rPr>
          <w:rStyle w:val="Pogrubienie"/>
          <w:rFonts w:ascii="Arial" w:hAnsi="Arial" w:cs="Arial"/>
          <w:b w:val="0"/>
          <w:sz w:val="24"/>
          <w:szCs w:val="24"/>
          <w:bdr w:val="none" w:sz="0" w:space="0" w:color="auto" w:frame="1"/>
          <w:shd w:val="clear" w:color="auto" w:fill="FFFFFF"/>
        </w:rPr>
        <w:t>Właściwym organem, który powinien zostać zawiadomiony o zakończeniu budowy, jest organ nadzoru budowlanego I instancji, tj. powiatowy albo wojewódzki inspektor nadzoru budowlanego. </w:t>
      </w:r>
    </w:p>
    <w:p w:rsidR="005E16BB" w:rsidRPr="005E16BB" w:rsidRDefault="005E16BB" w:rsidP="005E16BB">
      <w:pPr>
        <w:jc w:val="both"/>
        <w:rPr>
          <w:rFonts w:ascii="Arial" w:hAnsi="Arial" w:cs="Arial"/>
          <w:b/>
          <w:sz w:val="24"/>
          <w:szCs w:val="24"/>
          <w:shd w:val="clear" w:color="auto" w:fill="FFFFFF"/>
        </w:rPr>
      </w:pPr>
      <w:r w:rsidRPr="005E16BB">
        <w:rPr>
          <w:rStyle w:val="Pogrubienie"/>
          <w:rFonts w:ascii="Arial" w:hAnsi="Arial" w:cs="Arial"/>
          <w:b w:val="0"/>
          <w:sz w:val="24"/>
          <w:szCs w:val="24"/>
          <w:bdr w:val="none" w:sz="0" w:space="0" w:color="auto" w:frame="1"/>
          <w:shd w:val="clear" w:color="auto" w:fill="FFFFFF"/>
        </w:rPr>
        <w:t>Pamiętać należy także, że inwestor, zamiast dokonania zawiadomienia o zakończeniu budowy, zawsze może wystąpić z wnioskiem o wydanie decyzji o pozwoleniu na użytkowanie.</w:t>
      </w:r>
    </w:p>
    <w:p w:rsidR="00C2215B" w:rsidRPr="005E16BB" w:rsidRDefault="00C2215B">
      <w:pPr>
        <w:rPr>
          <w:rFonts w:ascii="Arial" w:hAnsi="Arial" w:cs="Arial"/>
          <w:b/>
          <w:sz w:val="26"/>
          <w:szCs w:val="26"/>
        </w:rPr>
      </w:pPr>
      <w:r w:rsidRPr="005E16BB">
        <w:rPr>
          <w:rFonts w:ascii="Arial" w:hAnsi="Arial" w:cs="Arial"/>
          <w:b/>
          <w:sz w:val="26"/>
          <w:szCs w:val="26"/>
        </w:rPr>
        <w:t>Temat 3: Książka obiektu budowlanego.</w:t>
      </w:r>
    </w:p>
    <w:p w:rsidR="003C160C" w:rsidRPr="003C160C" w:rsidRDefault="003C160C" w:rsidP="003C160C">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Książka powinna być założona w dniu przekazania obiektu budowlanego, zwanego dalej "obiektem", do użytkowania i systematycznie prowadzona przez okres jego użytkowania.</w:t>
      </w:r>
    </w:p>
    <w:p w:rsidR="003C160C" w:rsidRDefault="003C160C" w:rsidP="003C160C">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Książka powinna mieć format A-4 i być wykonana w sposób trwały, zapewniający przydatność do użytkowania w całym okresie użytkowania obiektu.</w:t>
      </w:r>
      <w:r>
        <w:rPr>
          <w:rFonts w:ascii="Arial" w:eastAsia="Times New Roman" w:hAnsi="Arial" w:cs="Arial"/>
          <w:lang w:eastAsia="pl-PL"/>
        </w:rPr>
        <w:t xml:space="preserve"> </w:t>
      </w:r>
    </w:p>
    <w:p w:rsidR="003C160C" w:rsidRPr="003C160C" w:rsidRDefault="003C160C" w:rsidP="003C160C">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Książka powinna mieć strony ponumerowane oraz zabezpieczone w sposób chroniący przed ich usunięciem lub wymianą.</w:t>
      </w:r>
    </w:p>
    <w:p w:rsidR="003C160C" w:rsidRPr="003C160C" w:rsidRDefault="003C160C" w:rsidP="003C160C">
      <w:pPr>
        <w:shd w:val="clear" w:color="auto" w:fill="FFFFFF" w:themeFill="background1"/>
        <w:spacing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 przypadku wypełnienia całej książki zakłada się jej kolejny tom, wpisując na stronie tytułowej numer kolejny tomu oraz datę założenia.</w:t>
      </w:r>
    </w:p>
    <w:p w:rsidR="003C160C" w:rsidRPr="003C160C" w:rsidRDefault="003C160C" w:rsidP="003C160C">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Wpisy do książki obejmują:</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1)  podstawowe dane identyfikujące obiekt:</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a)  rodzaj obiektu i jego adres,</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b) właściciela, zarządcę - nazwę lub imię i nazwisko,</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c)  protokół odbioru obiektu - numer i datę sporządzenia,</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d) pozwolenie na użytkowanie obiektu - nazwę organu, który wydał, numer i datę wydania,</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e)  zmianę właściciela lub zarządcy - numer i datę protokołu przejęcia obiektu,</w:t>
      </w:r>
    </w:p>
    <w:p w:rsidR="003C160C" w:rsidRPr="003C160C" w:rsidRDefault="003C160C" w:rsidP="003C160C">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f)  wpis o zamknięciu książki, datę jej założenia;</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2)  dane ogólne o obiekcie wraz z wykazem dokumentacji, w tym dokumentacji technicznej przekazanej właścicielowi (zarządcy) przy zakładaniu książki;</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3)  plan sytuacyjny obiektu, z zaznaczonymi granicami nieruchomości, określający również usytuowanie miejsc przyłączenia obiektu do sieci uzbrojenia terenu oraz armatury lub urządzeń przeznaczonych do odcięcia czynnika dostarczanego za pomocą tych sieci, a w szczególności gazu, energii elektrycznej i ciepła;</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4)  protokoły kontroli oraz badań określonych w art. 62 ust. 1 i 2 ustawy oraz przeprowadzonych remontów i przebudowy obiektu.</w:t>
      </w:r>
    </w:p>
    <w:p w:rsidR="003C160C" w:rsidRPr="003C160C" w:rsidRDefault="003C160C" w:rsidP="003C160C">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lastRenderedPageBreak/>
        <w:t>Wpisy do książki powinny być dokonywane w dniu zaistnienia okoliczności, dla której jest wymagane dokonanie odpowiedniego wpisu.</w:t>
      </w:r>
      <w:r>
        <w:rPr>
          <w:rFonts w:ascii="Arial" w:eastAsia="Times New Roman" w:hAnsi="Arial" w:cs="Arial"/>
          <w:lang w:eastAsia="pl-PL"/>
        </w:rPr>
        <w:t xml:space="preserve"> </w:t>
      </w:r>
      <w:r w:rsidRPr="003C160C">
        <w:rPr>
          <w:rFonts w:ascii="Arial" w:eastAsia="Times New Roman" w:hAnsi="Arial" w:cs="Arial"/>
          <w:lang w:eastAsia="pl-PL"/>
        </w:rPr>
        <w:t>Wpis do książki powinien:</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1)  zawierać dane identyfikujące dokument będący przedmiotem wpisu, określać ważne ustalenia w nim zawarte oraz dane identyfikujące osobę, która dokument wystawiła;</w:t>
      </w:r>
    </w:p>
    <w:p w:rsidR="003C160C" w:rsidRPr="003C160C" w:rsidRDefault="003C160C" w:rsidP="003C160C">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2)  cechować się jednoznacznością i zwięzłością.</w:t>
      </w:r>
    </w:p>
    <w:p w:rsidR="003C160C" w:rsidRDefault="003C160C" w:rsidP="003C160C">
      <w:pPr>
        <w:shd w:val="clear" w:color="auto" w:fill="FFFFFF" w:themeFill="background1"/>
        <w:spacing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Wpisów</w:t>
      </w:r>
      <w:r>
        <w:rPr>
          <w:rFonts w:ascii="Arial" w:eastAsia="Times New Roman" w:hAnsi="Arial" w:cs="Arial"/>
          <w:lang w:eastAsia="pl-PL"/>
        </w:rPr>
        <w:t xml:space="preserve"> </w:t>
      </w:r>
      <w:r w:rsidRPr="003C160C">
        <w:rPr>
          <w:rFonts w:ascii="Arial" w:eastAsia="Times New Roman" w:hAnsi="Arial" w:cs="Arial"/>
          <w:lang w:eastAsia="pl-PL"/>
        </w:rPr>
        <w:t>dokonuje właściciel lub zarządca obiektu albo osoba upoważniona przez właściciela lub zarządcę.</w:t>
      </w:r>
      <w:r>
        <w:rPr>
          <w:rFonts w:ascii="Arial" w:eastAsia="Times New Roman" w:hAnsi="Arial" w:cs="Arial"/>
          <w:lang w:eastAsia="pl-PL"/>
        </w:rPr>
        <w:t xml:space="preserve"> </w:t>
      </w:r>
      <w:r w:rsidRPr="003C160C">
        <w:rPr>
          <w:rFonts w:ascii="Arial" w:eastAsia="Times New Roman" w:hAnsi="Arial" w:cs="Arial"/>
          <w:lang w:eastAsia="pl-PL"/>
        </w:rPr>
        <w:t>Sprostowania błędów we wpisach dokonuje się przez przekreślenie wyrazów pojedynczą linią oraz umieszczenie daty i podpisu osoby dokonującej zmiany.</w:t>
      </w:r>
    </w:p>
    <w:p w:rsidR="003C160C" w:rsidRPr="003C160C" w:rsidRDefault="003C160C" w:rsidP="00B367B2">
      <w:pPr>
        <w:shd w:val="clear" w:color="auto" w:fill="FFFFFF" w:themeFill="background1"/>
        <w:spacing w:before="240"/>
        <w:rPr>
          <w:rFonts w:ascii="Calibri" w:eastAsia="Times New Roman" w:hAnsi="Calibri" w:cs="Times New Roman"/>
          <w:lang w:eastAsia="pl-PL"/>
        </w:rPr>
      </w:pPr>
      <w:r>
        <w:rPr>
          <w:rFonts w:ascii="Arial" w:eastAsia="Times New Roman" w:hAnsi="Arial" w:cs="Arial"/>
          <w:lang w:eastAsia="pl-PL"/>
        </w:rPr>
        <w:t xml:space="preserve">WZÓR KSIĄŻKI OBIEKTU BUDOWLANEGO </w:t>
      </w:r>
      <w:r w:rsidR="00B367B2">
        <w:rPr>
          <w:rFonts w:ascii="Arial" w:eastAsia="Times New Roman" w:hAnsi="Arial" w:cs="Arial"/>
          <w:lang w:eastAsia="pl-PL"/>
        </w:rPr>
        <w:t xml:space="preserve">reguluje </w:t>
      </w:r>
      <w:r w:rsidRPr="00B367B2">
        <w:rPr>
          <w:rFonts w:ascii="Calibri" w:eastAsia="Times New Roman" w:hAnsi="Calibri" w:cs="Times New Roman"/>
          <w:lang w:eastAsia="pl-PL"/>
        </w:rPr>
        <w:t>ROZPORZĄDZENIE</w:t>
      </w:r>
      <w:r w:rsidR="00B367B2">
        <w:rPr>
          <w:rFonts w:ascii="Calibri" w:eastAsia="Times New Roman" w:hAnsi="Calibri" w:cs="Times New Roman"/>
          <w:lang w:eastAsia="pl-PL"/>
        </w:rPr>
        <w:t xml:space="preserve"> </w:t>
      </w:r>
      <w:r w:rsidRPr="003C160C">
        <w:rPr>
          <w:rFonts w:ascii="Calibri" w:eastAsia="Times New Roman" w:hAnsi="Calibri" w:cs="Times New Roman"/>
          <w:lang w:eastAsia="pl-PL"/>
        </w:rPr>
        <w:t>MINISTRA INFRASTRUKTURY</w:t>
      </w:r>
      <w:r w:rsidRPr="003C160C">
        <w:rPr>
          <w:rFonts w:ascii="Calibri" w:eastAsia="Times New Roman" w:hAnsi="Calibri" w:cs="Times New Roman"/>
          <w:vertAlign w:val="superscript"/>
          <w:lang w:eastAsia="pl-PL"/>
        </w:rPr>
        <w:t>1)</w:t>
      </w:r>
      <w:r w:rsidR="00B367B2">
        <w:rPr>
          <w:rFonts w:ascii="Calibri" w:eastAsia="Times New Roman" w:hAnsi="Calibri" w:cs="Times New Roman"/>
          <w:lang w:eastAsia="pl-PL"/>
        </w:rPr>
        <w:t xml:space="preserve"> </w:t>
      </w:r>
      <w:r w:rsidRPr="003C160C">
        <w:rPr>
          <w:rFonts w:ascii="Calibri" w:eastAsia="Times New Roman" w:hAnsi="Calibri" w:cs="Times New Roman"/>
          <w:lang w:eastAsia="pl-PL"/>
        </w:rPr>
        <w:t>z dnia 3 lipca 2003 r.</w:t>
      </w:r>
      <w:r w:rsidR="00B367B2">
        <w:rPr>
          <w:rFonts w:ascii="Calibri" w:eastAsia="Times New Roman" w:hAnsi="Calibri" w:cs="Times New Roman"/>
          <w:lang w:eastAsia="pl-PL"/>
        </w:rPr>
        <w:t xml:space="preserve"> </w:t>
      </w:r>
      <w:r w:rsidRPr="003C160C">
        <w:rPr>
          <w:rFonts w:ascii="Calibri" w:eastAsia="Times New Roman" w:hAnsi="Calibri" w:cs="Times New Roman"/>
          <w:lang w:eastAsia="pl-PL"/>
        </w:rPr>
        <w:t>w sprawie książki obiektu budowlanego</w:t>
      </w:r>
      <w:r w:rsidR="00B367B2">
        <w:rPr>
          <w:rFonts w:ascii="Calibri" w:eastAsia="Times New Roman" w:hAnsi="Calibri" w:cs="Times New Roman"/>
          <w:lang w:eastAsia="pl-PL"/>
        </w:rPr>
        <w:t>.</w:t>
      </w:r>
    </w:p>
    <w:p w:rsidR="003C160C" w:rsidRPr="003C160C" w:rsidRDefault="003C160C" w:rsidP="003C160C">
      <w:pPr>
        <w:shd w:val="clear" w:color="auto" w:fill="FFFFFF" w:themeFill="background1"/>
        <w:spacing w:after="0" w:line="240" w:lineRule="auto"/>
        <w:ind w:firstLine="431"/>
        <w:jc w:val="both"/>
        <w:rPr>
          <w:rFonts w:ascii="Arial" w:eastAsia="Times New Roman" w:hAnsi="Arial" w:cs="Arial"/>
          <w:lang w:eastAsia="pl-PL"/>
        </w:rPr>
      </w:pPr>
    </w:p>
    <w:p w:rsidR="003C160C" w:rsidRDefault="003C160C"/>
    <w:sectPr w:rsidR="003C160C" w:rsidSect="005D1A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2215B"/>
    <w:rsid w:val="003C160C"/>
    <w:rsid w:val="005D1A77"/>
    <w:rsid w:val="005E16BB"/>
    <w:rsid w:val="00B367B2"/>
    <w:rsid w:val="00C221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1A7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lewyblock">
    <w:name w:val="akapitlewyblock"/>
    <w:basedOn w:val="Normalny"/>
    <w:rsid w:val="00C2215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ootnote">
    <w:name w:val="footnote"/>
    <w:basedOn w:val="Domylnaczcionkaakapitu"/>
    <w:rsid w:val="00C2215B"/>
  </w:style>
  <w:style w:type="character" w:customStyle="1" w:styleId="articletitle">
    <w:name w:val="articletitle"/>
    <w:basedOn w:val="Domylnaczcionkaakapitu"/>
    <w:rsid w:val="00C2215B"/>
  </w:style>
  <w:style w:type="character" w:styleId="Pogrubienie">
    <w:name w:val="Strong"/>
    <w:basedOn w:val="Domylnaczcionkaakapitu"/>
    <w:uiPriority w:val="22"/>
    <w:qFormat/>
    <w:rsid w:val="005E16BB"/>
    <w:rPr>
      <w:b/>
      <w:bCs/>
    </w:rPr>
  </w:style>
</w:styles>
</file>

<file path=word/webSettings.xml><?xml version="1.0" encoding="utf-8"?>
<w:webSettings xmlns:r="http://schemas.openxmlformats.org/officeDocument/2006/relationships" xmlns:w="http://schemas.openxmlformats.org/wordprocessingml/2006/main">
  <w:divs>
    <w:div w:id="95097097">
      <w:bodyDiv w:val="1"/>
      <w:marLeft w:val="0"/>
      <w:marRight w:val="0"/>
      <w:marTop w:val="0"/>
      <w:marBottom w:val="0"/>
      <w:divBdr>
        <w:top w:val="none" w:sz="0" w:space="0" w:color="auto"/>
        <w:left w:val="none" w:sz="0" w:space="0" w:color="auto"/>
        <w:bottom w:val="none" w:sz="0" w:space="0" w:color="auto"/>
        <w:right w:val="none" w:sz="0" w:space="0" w:color="auto"/>
      </w:divBdr>
    </w:div>
    <w:div w:id="381254162">
      <w:bodyDiv w:val="1"/>
      <w:marLeft w:val="0"/>
      <w:marRight w:val="0"/>
      <w:marTop w:val="0"/>
      <w:marBottom w:val="0"/>
      <w:divBdr>
        <w:top w:val="none" w:sz="0" w:space="0" w:color="auto"/>
        <w:left w:val="none" w:sz="0" w:space="0" w:color="auto"/>
        <w:bottom w:val="none" w:sz="0" w:space="0" w:color="auto"/>
        <w:right w:val="none" w:sz="0" w:space="0" w:color="auto"/>
      </w:divBdr>
      <w:divsChild>
        <w:div w:id="1998341694">
          <w:marLeft w:val="0"/>
          <w:marRight w:val="0"/>
          <w:marTop w:val="0"/>
          <w:marBottom w:val="0"/>
          <w:divBdr>
            <w:top w:val="none" w:sz="0" w:space="0" w:color="auto"/>
            <w:left w:val="none" w:sz="0" w:space="0" w:color="auto"/>
            <w:bottom w:val="none" w:sz="0" w:space="0" w:color="auto"/>
            <w:right w:val="none" w:sz="0" w:space="0" w:color="auto"/>
          </w:divBdr>
          <w:divsChild>
            <w:div w:id="1460879939">
              <w:marLeft w:val="600"/>
              <w:marRight w:val="0"/>
              <w:marTop w:val="0"/>
              <w:marBottom w:val="75"/>
              <w:divBdr>
                <w:top w:val="none" w:sz="0" w:space="0" w:color="auto"/>
                <w:left w:val="none" w:sz="0" w:space="0" w:color="auto"/>
                <w:bottom w:val="none" w:sz="0" w:space="0" w:color="auto"/>
                <w:right w:val="none" w:sz="0" w:space="0" w:color="auto"/>
              </w:divBdr>
              <w:divsChild>
                <w:div w:id="1904292613">
                  <w:marLeft w:val="0"/>
                  <w:marRight w:val="0"/>
                  <w:marTop w:val="0"/>
                  <w:marBottom w:val="0"/>
                  <w:divBdr>
                    <w:top w:val="none" w:sz="0" w:space="0" w:color="auto"/>
                    <w:left w:val="none" w:sz="0" w:space="0" w:color="auto"/>
                    <w:bottom w:val="none" w:sz="0" w:space="0" w:color="auto"/>
                    <w:right w:val="none" w:sz="0" w:space="0" w:color="auto"/>
                  </w:divBdr>
                </w:div>
              </w:divsChild>
            </w:div>
            <w:div w:id="871452518">
              <w:marLeft w:val="0"/>
              <w:marRight w:val="0"/>
              <w:marTop w:val="0"/>
              <w:marBottom w:val="0"/>
              <w:divBdr>
                <w:top w:val="none" w:sz="0" w:space="0" w:color="auto"/>
                <w:left w:val="none" w:sz="0" w:space="0" w:color="auto"/>
                <w:bottom w:val="none" w:sz="0" w:space="0" w:color="auto"/>
                <w:right w:val="none" w:sz="0" w:space="0" w:color="auto"/>
              </w:divBdr>
              <w:divsChild>
                <w:div w:id="1309439369">
                  <w:marLeft w:val="1200"/>
                  <w:marRight w:val="0"/>
                  <w:marTop w:val="0"/>
                  <w:marBottom w:val="75"/>
                  <w:divBdr>
                    <w:top w:val="none" w:sz="0" w:space="0" w:color="auto"/>
                    <w:left w:val="none" w:sz="0" w:space="0" w:color="auto"/>
                    <w:bottom w:val="none" w:sz="0" w:space="0" w:color="auto"/>
                    <w:right w:val="none" w:sz="0" w:space="0" w:color="auto"/>
                  </w:divBdr>
                  <w:divsChild>
                    <w:div w:id="35260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5868">
              <w:marLeft w:val="0"/>
              <w:marRight w:val="0"/>
              <w:marTop w:val="0"/>
              <w:marBottom w:val="0"/>
              <w:divBdr>
                <w:top w:val="none" w:sz="0" w:space="0" w:color="auto"/>
                <w:left w:val="none" w:sz="0" w:space="0" w:color="auto"/>
                <w:bottom w:val="none" w:sz="0" w:space="0" w:color="auto"/>
                <w:right w:val="none" w:sz="0" w:space="0" w:color="auto"/>
              </w:divBdr>
              <w:divsChild>
                <w:div w:id="1441875242">
                  <w:marLeft w:val="1200"/>
                  <w:marRight w:val="0"/>
                  <w:marTop w:val="0"/>
                  <w:marBottom w:val="75"/>
                  <w:divBdr>
                    <w:top w:val="none" w:sz="0" w:space="0" w:color="auto"/>
                    <w:left w:val="none" w:sz="0" w:space="0" w:color="auto"/>
                    <w:bottom w:val="none" w:sz="0" w:space="0" w:color="auto"/>
                    <w:right w:val="none" w:sz="0" w:space="0" w:color="auto"/>
                  </w:divBdr>
                  <w:divsChild>
                    <w:div w:id="68991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61848">
              <w:marLeft w:val="0"/>
              <w:marRight w:val="0"/>
              <w:marTop w:val="0"/>
              <w:marBottom w:val="0"/>
              <w:divBdr>
                <w:top w:val="none" w:sz="0" w:space="0" w:color="auto"/>
                <w:left w:val="none" w:sz="0" w:space="0" w:color="auto"/>
                <w:bottom w:val="none" w:sz="0" w:space="0" w:color="auto"/>
                <w:right w:val="none" w:sz="0" w:space="0" w:color="auto"/>
              </w:divBdr>
              <w:divsChild>
                <w:div w:id="242185802">
                  <w:marLeft w:val="1200"/>
                  <w:marRight w:val="0"/>
                  <w:marTop w:val="0"/>
                  <w:marBottom w:val="75"/>
                  <w:divBdr>
                    <w:top w:val="none" w:sz="0" w:space="0" w:color="auto"/>
                    <w:left w:val="none" w:sz="0" w:space="0" w:color="auto"/>
                    <w:bottom w:val="none" w:sz="0" w:space="0" w:color="auto"/>
                    <w:right w:val="none" w:sz="0" w:space="0" w:color="auto"/>
                  </w:divBdr>
                  <w:divsChild>
                    <w:div w:id="10847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58875">
              <w:marLeft w:val="0"/>
              <w:marRight w:val="0"/>
              <w:marTop w:val="0"/>
              <w:marBottom w:val="0"/>
              <w:divBdr>
                <w:top w:val="none" w:sz="0" w:space="0" w:color="auto"/>
                <w:left w:val="none" w:sz="0" w:space="0" w:color="auto"/>
                <w:bottom w:val="none" w:sz="0" w:space="0" w:color="auto"/>
                <w:right w:val="none" w:sz="0" w:space="0" w:color="auto"/>
              </w:divBdr>
              <w:divsChild>
                <w:div w:id="159467960">
                  <w:marLeft w:val="1200"/>
                  <w:marRight w:val="0"/>
                  <w:marTop w:val="0"/>
                  <w:marBottom w:val="75"/>
                  <w:divBdr>
                    <w:top w:val="none" w:sz="0" w:space="0" w:color="auto"/>
                    <w:left w:val="none" w:sz="0" w:space="0" w:color="auto"/>
                    <w:bottom w:val="none" w:sz="0" w:space="0" w:color="auto"/>
                    <w:right w:val="none" w:sz="0" w:space="0" w:color="auto"/>
                  </w:divBdr>
                  <w:divsChild>
                    <w:div w:id="10908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57590">
              <w:marLeft w:val="0"/>
              <w:marRight w:val="0"/>
              <w:marTop w:val="0"/>
              <w:marBottom w:val="0"/>
              <w:divBdr>
                <w:top w:val="none" w:sz="0" w:space="0" w:color="auto"/>
                <w:left w:val="none" w:sz="0" w:space="0" w:color="auto"/>
                <w:bottom w:val="none" w:sz="0" w:space="0" w:color="auto"/>
                <w:right w:val="none" w:sz="0" w:space="0" w:color="auto"/>
              </w:divBdr>
              <w:divsChild>
                <w:div w:id="1984041596">
                  <w:marLeft w:val="1200"/>
                  <w:marRight w:val="0"/>
                  <w:marTop w:val="0"/>
                  <w:marBottom w:val="75"/>
                  <w:divBdr>
                    <w:top w:val="none" w:sz="0" w:space="0" w:color="auto"/>
                    <w:left w:val="none" w:sz="0" w:space="0" w:color="auto"/>
                    <w:bottom w:val="none" w:sz="0" w:space="0" w:color="auto"/>
                    <w:right w:val="none" w:sz="0" w:space="0" w:color="auto"/>
                  </w:divBdr>
                  <w:divsChild>
                    <w:div w:id="11509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11554">
              <w:marLeft w:val="0"/>
              <w:marRight w:val="0"/>
              <w:marTop w:val="0"/>
              <w:marBottom w:val="0"/>
              <w:divBdr>
                <w:top w:val="none" w:sz="0" w:space="0" w:color="auto"/>
                <w:left w:val="none" w:sz="0" w:space="0" w:color="auto"/>
                <w:bottom w:val="none" w:sz="0" w:space="0" w:color="auto"/>
                <w:right w:val="none" w:sz="0" w:space="0" w:color="auto"/>
              </w:divBdr>
              <w:divsChild>
                <w:div w:id="2123065921">
                  <w:marLeft w:val="1200"/>
                  <w:marRight w:val="0"/>
                  <w:marTop w:val="0"/>
                  <w:marBottom w:val="75"/>
                  <w:divBdr>
                    <w:top w:val="none" w:sz="0" w:space="0" w:color="auto"/>
                    <w:left w:val="none" w:sz="0" w:space="0" w:color="auto"/>
                    <w:bottom w:val="none" w:sz="0" w:space="0" w:color="auto"/>
                    <w:right w:val="none" w:sz="0" w:space="0" w:color="auto"/>
                  </w:divBdr>
                  <w:divsChild>
                    <w:div w:id="142869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259401">
              <w:marLeft w:val="0"/>
              <w:marRight w:val="0"/>
              <w:marTop w:val="0"/>
              <w:marBottom w:val="0"/>
              <w:divBdr>
                <w:top w:val="none" w:sz="0" w:space="0" w:color="auto"/>
                <w:left w:val="none" w:sz="0" w:space="0" w:color="auto"/>
                <w:bottom w:val="none" w:sz="0" w:space="0" w:color="auto"/>
                <w:right w:val="none" w:sz="0" w:space="0" w:color="auto"/>
              </w:divBdr>
              <w:divsChild>
                <w:div w:id="1994605118">
                  <w:marLeft w:val="1200"/>
                  <w:marRight w:val="0"/>
                  <w:marTop w:val="0"/>
                  <w:marBottom w:val="75"/>
                  <w:divBdr>
                    <w:top w:val="none" w:sz="0" w:space="0" w:color="auto"/>
                    <w:left w:val="none" w:sz="0" w:space="0" w:color="auto"/>
                    <w:bottom w:val="none" w:sz="0" w:space="0" w:color="auto"/>
                    <w:right w:val="none" w:sz="0" w:space="0" w:color="auto"/>
                  </w:divBdr>
                  <w:divsChild>
                    <w:div w:id="201295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1011">
              <w:marLeft w:val="0"/>
              <w:marRight w:val="0"/>
              <w:marTop w:val="0"/>
              <w:marBottom w:val="0"/>
              <w:divBdr>
                <w:top w:val="none" w:sz="0" w:space="0" w:color="auto"/>
                <w:left w:val="none" w:sz="0" w:space="0" w:color="auto"/>
                <w:bottom w:val="none" w:sz="0" w:space="0" w:color="auto"/>
                <w:right w:val="none" w:sz="0" w:space="0" w:color="auto"/>
              </w:divBdr>
              <w:divsChild>
                <w:div w:id="565186246">
                  <w:marLeft w:val="1200"/>
                  <w:marRight w:val="0"/>
                  <w:marTop w:val="0"/>
                  <w:marBottom w:val="75"/>
                  <w:divBdr>
                    <w:top w:val="none" w:sz="0" w:space="0" w:color="auto"/>
                    <w:left w:val="none" w:sz="0" w:space="0" w:color="auto"/>
                    <w:bottom w:val="none" w:sz="0" w:space="0" w:color="auto"/>
                    <w:right w:val="none" w:sz="0" w:space="0" w:color="auto"/>
                  </w:divBdr>
                  <w:divsChild>
                    <w:div w:id="111466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948390">
              <w:marLeft w:val="0"/>
              <w:marRight w:val="0"/>
              <w:marTop w:val="0"/>
              <w:marBottom w:val="0"/>
              <w:divBdr>
                <w:top w:val="none" w:sz="0" w:space="0" w:color="auto"/>
                <w:left w:val="none" w:sz="0" w:space="0" w:color="auto"/>
                <w:bottom w:val="none" w:sz="0" w:space="0" w:color="auto"/>
                <w:right w:val="none" w:sz="0" w:space="0" w:color="auto"/>
              </w:divBdr>
              <w:divsChild>
                <w:div w:id="2084987331">
                  <w:marLeft w:val="1200"/>
                  <w:marRight w:val="0"/>
                  <w:marTop w:val="0"/>
                  <w:marBottom w:val="75"/>
                  <w:divBdr>
                    <w:top w:val="none" w:sz="0" w:space="0" w:color="auto"/>
                    <w:left w:val="none" w:sz="0" w:space="0" w:color="auto"/>
                    <w:bottom w:val="none" w:sz="0" w:space="0" w:color="auto"/>
                    <w:right w:val="none" w:sz="0" w:space="0" w:color="auto"/>
                  </w:divBdr>
                  <w:divsChild>
                    <w:div w:id="192271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55625">
              <w:marLeft w:val="0"/>
              <w:marRight w:val="0"/>
              <w:marTop w:val="0"/>
              <w:marBottom w:val="0"/>
              <w:divBdr>
                <w:top w:val="none" w:sz="0" w:space="0" w:color="auto"/>
                <w:left w:val="none" w:sz="0" w:space="0" w:color="auto"/>
                <w:bottom w:val="none" w:sz="0" w:space="0" w:color="auto"/>
                <w:right w:val="none" w:sz="0" w:space="0" w:color="auto"/>
              </w:divBdr>
              <w:divsChild>
                <w:div w:id="774448591">
                  <w:marLeft w:val="1200"/>
                  <w:marRight w:val="0"/>
                  <w:marTop w:val="0"/>
                  <w:marBottom w:val="75"/>
                  <w:divBdr>
                    <w:top w:val="none" w:sz="0" w:space="0" w:color="auto"/>
                    <w:left w:val="none" w:sz="0" w:space="0" w:color="auto"/>
                    <w:bottom w:val="none" w:sz="0" w:space="0" w:color="auto"/>
                    <w:right w:val="none" w:sz="0" w:space="0" w:color="auto"/>
                  </w:divBdr>
                  <w:divsChild>
                    <w:div w:id="990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072465">
              <w:marLeft w:val="0"/>
              <w:marRight w:val="0"/>
              <w:marTop w:val="0"/>
              <w:marBottom w:val="0"/>
              <w:divBdr>
                <w:top w:val="none" w:sz="0" w:space="0" w:color="auto"/>
                <w:left w:val="none" w:sz="0" w:space="0" w:color="auto"/>
                <w:bottom w:val="none" w:sz="0" w:space="0" w:color="auto"/>
                <w:right w:val="none" w:sz="0" w:space="0" w:color="auto"/>
              </w:divBdr>
              <w:divsChild>
                <w:div w:id="394427781">
                  <w:marLeft w:val="1200"/>
                  <w:marRight w:val="0"/>
                  <w:marTop w:val="0"/>
                  <w:marBottom w:val="75"/>
                  <w:divBdr>
                    <w:top w:val="none" w:sz="0" w:space="0" w:color="auto"/>
                    <w:left w:val="none" w:sz="0" w:space="0" w:color="auto"/>
                    <w:bottom w:val="none" w:sz="0" w:space="0" w:color="auto"/>
                    <w:right w:val="none" w:sz="0" w:space="0" w:color="auto"/>
                  </w:divBdr>
                  <w:divsChild>
                    <w:div w:id="83323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1885">
              <w:marLeft w:val="0"/>
              <w:marRight w:val="0"/>
              <w:marTop w:val="0"/>
              <w:marBottom w:val="0"/>
              <w:divBdr>
                <w:top w:val="none" w:sz="0" w:space="0" w:color="auto"/>
                <w:left w:val="none" w:sz="0" w:space="0" w:color="auto"/>
                <w:bottom w:val="none" w:sz="0" w:space="0" w:color="auto"/>
                <w:right w:val="none" w:sz="0" w:space="0" w:color="auto"/>
              </w:divBdr>
              <w:divsChild>
                <w:div w:id="1482846750">
                  <w:marLeft w:val="1200"/>
                  <w:marRight w:val="0"/>
                  <w:marTop w:val="0"/>
                  <w:marBottom w:val="75"/>
                  <w:divBdr>
                    <w:top w:val="none" w:sz="0" w:space="0" w:color="auto"/>
                    <w:left w:val="none" w:sz="0" w:space="0" w:color="auto"/>
                    <w:bottom w:val="none" w:sz="0" w:space="0" w:color="auto"/>
                    <w:right w:val="none" w:sz="0" w:space="0" w:color="auto"/>
                  </w:divBdr>
                  <w:divsChild>
                    <w:div w:id="18082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12687">
              <w:marLeft w:val="0"/>
              <w:marRight w:val="0"/>
              <w:marTop w:val="0"/>
              <w:marBottom w:val="0"/>
              <w:divBdr>
                <w:top w:val="none" w:sz="0" w:space="0" w:color="auto"/>
                <w:left w:val="none" w:sz="0" w:space="0" w:color="auto"/>
                <w:bottom w:val="none" w:sz="0" w:space="0" w:color="auto"/>
                <w:right w:val="none" w:sz="0" w:space="0" w:color="auto"/>
              </w:divBdr>
              <w:divsChild>
                <w:div w:id="81218795">
                  <w:marLeft w:val="1200"/>
                  <w:marRight w:val="0"/>
                  <w:marTop w:val="0"/>
                  <w:marBottom w:val="75"/>
                  <w:divBdr>
                    <w:top w:val="none" w:sz="0" w:space="0" w:color="auto"/>
                    <w:left w:val="none" w:sz="0" w:space="0" w:color="auto"/>
                    <w:bottom w:val="none" w:sz="0" w:space="0" w:color="auto"/>
                    <w:right w:val="none" w:sz="0" w:space="0" w:color="auto"/>
                  </w:divBdr>
                  <w:divsChild>
                    <w:div w:id="175042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12776">
          <w:marLeft w:val="0"/>
          <w:marRight w:val="0"/>
          <w:marTop w:val="0"/>
          <w:marBottom w:val="0"/>
          <w:divBdr>
            <w:top w:val="none" w:sz="0" w:space="0" w:color="auto"/>
            <w:left w:val="none" w:sz="0" w:space="0" w:color="auto"/>
            <w:bottom w:val="none" w:sz="0" w:space="0" w:color="auto"/>
            <w:right w:val="none" w:sz="0" w:space="0" w:color="auto"/>
          </w:divBdr>
          <w:divsChild>
            <w:div w:id="547761344">
              <w:marLeft w:val="600"/>
              <w:marRight w:val="0"/>
              <w:marTop w:val="0"/>
              <w:marBottom w:val="75"/>
              <w:divBdr>
                <w:top w:val="none" w:sz="0" w:space="0" w:color="auto"/>
                <w:left w:val="none" w:sz="0" w:space="0" w:color="auto"/>
                <w:bottom w:val="none" w:sz="0" w:space="0" w:color="auto"/>
                <w:right w:val="none" w:sz="0" w:space="0" w:color="auto"/>
              </w:divBdr>
              <w:divsChild>
                <w:div w:id="162700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48599">
      <w:bodyDiv w:val="1"/>
      <w:marLeft w:val="0"/>
      <w:marRight w:val="0"/>
      <w:marTop w:val="0"/>
      <w:marBottom w:val="0"/>
      <w:divBdr>
        <w:top w:val="none" w:sz="0" w:space="0" w:color="auto"/>
        <w:left w:val="none" w:sz="0" w:space="0" w:color="auto"/>
        <w:bottom w:val="none" w:sz="0" w:space="0" w:color="auto"/>
        <w:right w:val="none" w:sz="0" w:space="0" w:color="auto"/>
      </w:divBdr>
    </w:div>
    <w:div w:id="1141844676">
      <w:bodyDiv w:val="1"/>
      <w:marLeft w:val="0"/>
      <w:marRight w:val="0"/>
      <w:marTop w:val="0"/>
      <w:marBottom w:val="0"/>
      <w:divBdr>
        <w:top w:val="none" w:sz="0" w:space="0" w:color="auto"/>
        <w:left w:val="none" w:sz="0" w:space="0" w:color="auto"/>
        <w:bottom w:val="none" w:sz="0" w:space="0" w:color="auto"/>
        <w:right w:val="none" w:sz="0" w:space="0" w:color="auto"/>
      </w:divBdr>
      <w:divsChild>
        <w:div w:id="1078945746">
          <w:marLeft w:val="0"/>
          <w:marRight w:val="0"/>
          <w:marTop w:val="0"/>
          <w:marBottom w:val="0"/>
          <w:divBdr>
            <w:top w:val="none" w:sz="0" w:space="0" w:color="auto"/>
            <w:left w:val="none" w:sz="0" w:space="0" w:color="auto"/>
            <w:bottom w:val="none" w:sz="0" w:space="0" w:color="auto"/>
            <w:right w:val="none" w:sz="0" w:space="0" w:color="auto"/>
          </w:divBdr>
          <w:divsChild>
            <w:div w:id="459416509">
              <w:marLeft w:val="600"/>
              <w:marRight w:val="0"/>
              <w:marTop w:val="0"/>
              <w:marBottom w:val="75"/>
              <w:divBdr>
                <w:top w:val="none" w:sz="0" w:space="0" w:color="auto"/>
                <w:left w:val="none" w:sz="0" w:space="0" w:color="auto"/>
                <w:bottom w:val="none" w:sz="0" w:space="0" w:color="auto"/>
                <w:right w:val="none" w:sz="0" w:space="0" w:color="auto"/>
              </w:divBdr>
              <w:divsChild>
                <w:div w:id="615409041">
                  <w:marLeft w:val="0"/>
                  <w:marRight w:val="0"/>
                  <w:marTop w:val="0"/>
                  <w:marBottom w:val="0"/>
                  <w:divBdr>
                    <w:top w:val="none" w:sz="0" w:space="0" w:color="auto"/>
                    <w:left w:val="none" w:sz="0" w:space="0" w:color="auto"/>
                    <w:bottom w:val="none" w:sz="0" w:space="0" w:color="auto"/>
                    <w:right w:val="none" w:sz="0" w:space="0" w:color="auto"/>
                  </w:divBdr>
                </w:div>
              </w:divsChild>
            </w:div>
            <w:div w:id="301428252">
              <w:marLeft w:val="0"/>
              <w:marRight w:val="0"/>
              <w:marTop w:val="0"/>
              <w:marBottom w:val="0"/>
              <w:divBdr>
                <w:top w:val="none" w:sz="0" w:space="0" w:color="auto"/>
                <w:left w:val="none" w:sz="0" w:space="0" w:color="auto"/>
                <w:bottom w:val="none" w:sz="0" w:space="0" w:color="auto"/>
                <w:right w:val="none" w:sz="0" w:space="0" w:color="auto"/>
              </w:divBdr>
              <w:divsChild>
                <w:div w:id="1349520612">
                  <w:marLeft w:val="1200"/>
                  <w:marRight w:val="0"/>
                  <w:marTop w:val="0"/>
                  <w:marBottom w:val="75"/>
                  <w:divBdr>
                    <w:top w:val="none" w:sz="0" w:space="0" w:color="auto"/>
                    <w:left w:val="none" w:sz="0" w:space="0" w:color="auto"/>
                    <w:bottom w:val="none" w:sz="0" w:space="0" w:color="auto"/>
                    <w:right w:val="none" w:sz="0" w:space="0" w:color="auto"/>
                  </w:divBdr>
                  <w:divsChild>
                    <w:div w:id="19499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4248">
              <w:marLeft w:val="0"/>
              <w:marRight w:val="0"/>
              <w:marTop w:val="0"/>
              <w:marBottom w:val="0"/>
              <w:divBdr>
                <w:top w:val="none" w:sz="0" w:space="0" w:color="auto"/>
                <w:left w:val="none" w:sz="0" w:space="0" w:color="auto"/>
                <w:bottom w:val="none" w:sz="0" w:space="0" w:color="auto"/>
                <w:right w:val="none" w:sz="0" w:space="0" w:color="auto"/>
              </w:divBdr>
              <w:divsChild>
                <w:div w:id="1223712140">
                  <w:marLeft w:val="1200"/>
                  <w:marRight w:val="0"/>
                  <w:marTop w:val="0"/>
                  <w:marBottom w:val="75"/>
                  <w:divBdr>
                    <w:top w:val="none" w:sz="0" w:space="0" w:color="auto"/>
                    <w:left w:val="none" w:sz="0" w:space="0" w:color="auto"/>
                    <w:bottom w:val="none" w:sz="0" w:space="0" w:color="auto"/>
                    <w:right w:val="none" w:sz="0" w:space="0" w:color="auto"/>
                  </w:divBdr>
                  <w:divsChild>
                    <w:div w:id="154494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156239">
              <w:marLeft w:val="0"/>
              <w:marRight w:val="0"/>
              <w:marTop w:val="0"/>
              <w:marBottom w:val="0"/>
              <w:divBdr>
                <w:top w:val="none" w:sz="0" w:space="0" w:color="auto"/>
                <w:left w:val="none" w:sz="0" w:space="0" w:color="auto"/>
                <w:bottom w:val="none" w:sz="0" w:space="0" w:color="auto"/>
                <w:right w:val="none" w:sz="0" w:space="0" w:color="auto"/>
              </w:divBdr>
              <w:divsChild>
                <w:div w:id="238297776">
                  <w:marLeft w:val="1200"/>
                  <w:marRight w:val="0"/>
                  <w:marTop w:val="0"/>
                  <w:marBottom w:val="75"/>
                  <w:divBdr>
                    <w:top w:val="none" w:sz="0" w:space="0" w:color="auto"/>
                    <w:left w:val="none" w:sz="0" w:space="0" w:color="auto"/>
                    <w:bottom w:val="none" w:sz="0" w:space="0" w:color="auto"/>
                    <w:right w:val="none" w:sz="0" w:space="0" w:color="auto"/>
                  </w:divBdr>
                  <w:divsChild>
                    <w:div w:id="15102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054499">
          <w:marLeft w:val="0"/>
          <w:marRight w:val="0"/>
          <w:marTop w:val="0"/>
          <w:marBottom w:val="0"/>
          <w:divBdr>
            <w:top w:val="none" w:sz="0" w:space="0" w:color="auto"/>
            <w:left w:val="none" w:sz="0" w:space="0" w:color="auto"/>
            <w:bottom w:val="none" w:sz="0" w:space="0" w:color="auto"/>
            <w:right w:val="none" w:sz="0" w:space="0" w:color="auto"/>
          </w:divBdr>
          <w:divsChild>
            <w:div w:id="336419266">
              <w:marLeft w:val="600"/>
              <w:marRight w:val="0"/>
              <w:marTop w:val="0"/>
              <w:marBottom w:val="75"/>
              <w:divBdr>
                <w:top w:val="none" w:sz="0" w:space="0" w:color="auto"/>
                <w:left w:val="none" w:sz="0" w:space="0" w:color="auto"/>
                <w:bottom w:val="none" w:sz="0" w:space="0" w:color="auto"/>
                <w:right w:val="none" w:sz="0" w:space="0" w:color="auto"/>
              </w:divBdr>
              <w:divsChild>
                <w:div w:id="81529477">
                  <w:marLeft w:val="0"/>
                  <w:marRight w:val="0"/>
                  <w:marTop w:val="0"/>
                  <w:marBottom w:val="0"/>
                  <w:divBdr>
                    <w:top w:val="none" w:sz="0" w:space="0" w:color="auto"/>
                    <w:left w:val="none" w:sz="0" w:space="0" w:color="auto"/>
                    <w:bottom w:val="none" w:sz="0" w:space="0" w:color="auto"/>
                    <w:right w:val="none" w:sz="0" w:space="0" w:color="auto"/>
                  </w:divBdr>
                </w:div>
              </w:divsChild>
            </w:div>
            <w:div w:id="798228926">
              <w:marLeft w:val="0"/>
              <w:marRight w:val="0"/>
              <w:marTop w:val="0"/>
              <w:marBottom w:val="0"/>
              <w:divBdr>
                <w:top w:val="none" w:sz="0" w:space="0" w:color="auto"/>
                <w:left w:val="none" w:sz="0" w:space="0" w:color="auto"/>
                <w:bottom w:val="none" w:sz="0" w:space="0" w:color="auto"/>
                <w:right w:val="none" w:sz="0" w:space="0" w:color="auto"/>
              </w:divBdr>
              <w:divsChild>
                <w:div w:id="334571490">
                  <w:marLeft w:val="1200"/>
                  <w:marRight w:val="0"/>
                  <w:marTop w:val="0"/>
                  <w:marBottom w:val="75"/>
                  <w:divBdr>
                    <w:top w:val="none" w:sz="0" w:space="0" w:color="auto"/>
                    <w:left w:val="none" w:sz="0" w:space="0" w:color="auto"/>
                    <w:bottom w:val="none" w:sz="0" w:space="0" w:color="auto"/>
                    <w:right w:val="none" w:sz="0" w:space="0" w:color="auto"/>
                  </w:divBdr>
                  <w:divsChild>
                    <w:div w:id="10331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86276">
              <w:marLeft w:val="0"/>
              <w:marRight w:val="0"/>
              <w:marTop w:val="0"/>
              <w:marBottom w:val="0"/>
              <w:divBdr>
                <w:top w:val="none" w:sz="0" w:space="0" w:color="auto"/>
                <w:left w:val="none" w:sz="0" w:space="0" w:color="auto"/>
                <w:bottom w:val="none" w:sz="0" w:space="0" w:color="auto"/>
                <w:right w:val="none" w:sz="0" w:space="0" w:color="auto"/>
              </w:divBdr>
              <w:divsChild>
                <w:div w:id="1312635541">
                  <w:marLeft w:val="1200"/>
                  <w:marRight w:val="0"/>
                  <w:marTop w:val="0"/>
                  <w:marBottom w:val="75"/>
                  <w:divBdr>
                    <w:top w:val="none" w:sz="0" w:space="0" w:color="auto"/>
                    <w:left w:val="none" w:sz="0" w:space="0" w:color="auto"/>
                    <w:bottom w:val="none" w:sz="0" w:space="0" w:color="auto"/>
                    <w:right w:val="none" w:sz="0" w:space="0" w:color="auto"/>
                  </w:divBdr>
                  <w:divsChild>
                    <w:div w:id="18939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816604">
          <w:marLeft w:val="0"/>
          <w:marRight w:val="0"/>
          <w:marTop w:val="0"/>
          <w:marBottom w:val="0"/>
          <w:divBdr>
            <w:top w:val="none" w:sz="0" w:space="0" w:color="auto"/>
            <w:left w:val="none" w:sz="0" w:space="0" w:color="auto"/>
            <w:bottom w:val="none" w:sz="0" w:space="0" w:color="auto"/>
            <w:right w:val="none" w:sz="0" w:space="0" w:color="auto"/>
          </w:divBdr>
          <w:divsChild>
            <w:div w:id="1269433280">
              <w:marLeft w:val="600"/>
              <w:marRight w:val="0"/>
              <w:marTop w:val="0"/>
              <w:marBottom w:val="75"/>
              <w:divBdr>
                <w:top w:val="none" w:sz="0" w:space="0" w:color="auto"/>
                <w:left w:val="none" w:sz="0" w:space="0" w:color="auto"/>
                <w:bottom w:val="none" w:sz="0" w:space="0" w:color="auto"/>
                <w:right w:val="none" w:sz="0" w:space="0" w:color="auto"/>
              </w:divBdr>
              <w:divsChild>
                <w:div w:id="22356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78154">
      <w:bodyDiv w:val="1"/>
      <w:marLeft w:val="0"/>
      <w:marRight w:val="0"/>
      <w:marTop w:val="0"/>
      <w:marBottom w:val="0"/>
      <w:divBdr>
        <w:top w:val="none" w:sz="0" w:space="0" w:color="auto"/>
        <w:left w:val="none" w:sz="0" w:space="0" w:color="auto"/>
        <w:bottom w:val="none" w:sz="0" w:space="0" w:color="auto"/>
        <w:right w:val="none" w:sz="0" w:space="0" w:color="auto"/>
      </w:divBdr>
    </w:div>
    <w:div w:id="1904295061">
      <w:bodyDiv w:val="1"/>
      <w:marLeft w:val="0"/>
      <w:marRight w:val="0"/>
      <w:marTop w:val="0"/>
      <w:marBottom w:val="0"/>
      <w:divBdr>
        <w:top w:val="none" w:sz="0" w:space="0" w:color="auto"/>
        <w:left w:val="none" w:sz="0" w:space="0" w:color="auto"/>
        <w:bottom w:val="none" w:sz="0" w:space="0" w:color="auto"/>
        <w:right w:val="none" w:sz="0" w:space="0" w:color="auto"/>
      </w:divBdr>
      <w:divsChild>
        <w:div w:id="470368168">
          <w:marLeft w:val="0"/>
          <w:marRight w:val="0"/>
          <w:marTop w:val="0"/>
          <w:marBottom w:val="0"/>
          <w:divBdr>
            <w:top w:val="none" w:sz="0" w:space="0" w:color="auto"/>
            <w:left w:val="none" w:sz="0" w:space="0" w:color="auto"/>
            <w:bottom w:val="none" w:sz="0" w:space="0" w:color="auto"/>
            <w:right w:val="none" w:sz="0" w:space="0" w:color="auto"/>
          </w:divBdr>
        </w:div>
        <w:div w:id="1170024130">
          <w:marLeft w:val="0"/>
          <w:marRight w:val="0"/>
          <w:marTop w:val="0"/>
          <w:marBottom w:val="0"/>
          <w:divBdr>
            <w:top w:val="none" w:sz="0" w:space="0" w:color="auto"/>
            <w:left w:val="none" w:sz="0" w:space="0" w:color="auto"/>
            <w:bottom w:val="none" w:sz="0" w:space="0" w:color="auto"/>
            <w:right w:val="none" w:sz="0" w:space="0" w:color="auto"/>
          </w:divBdr>
          <w:divsChild>
            <w:div w:id="761685583">
              <w:marLeft w:val="0"/>
              <w:marRight w:val="0"/>
              <w:marTop w:val="0"/>
              <w:marBottom w:val="75"/>
              <w:divBdr>
                <w:top w:val="none" w:sz="0" w:space="0" w:color="auto"/>
                <w:left w:val="none" w:sz="0" w:space="0" w:color="auto"/>
                <w:bottom w:val="none" w:sz="0" w:space="0" w:color="auto"/>
                <w:right w:val="none" w:sz="0" w:space="0" w:color="auto"/>
              </w:divBdr>
            </w:div>
            <w:div w:id="1533881521">
              <w:marLeft w:val="0"/>
              <w:marRight w:val="0"/>
              <w:marTop w:val="0"/>
              <w:marBottom w:val="0"/>
              <w:divBdr>
                <w:top w:val="none" w:sz="0" w:space="0" w:color="auto"/>
                <w:left w:val="none" w:sz="0" w:space="0" w:color="auto"/>
                <w:bottom w:val="none" w:sz="0" w:space="0" w:color="auto"/>
                <w:right w:val="none" w:sz="0" w:space="0" w:color="auto"/>
              </w:divBdr>
              <w:divsChild>
                <w:div w:id="27024493">
                  <w:marLeft w:val="1200"/>
                  <w:marRight w:val="0"/>
                  <w:marTop w:val="0"/>
                  <w:marBottom w:val="75"/>
                  <w:divBdr>
                    <w:top w:val="none" w:sz="0" w:space="0" w:color="auto"/>
                    <w:left w:val="none" w:sz="0" w:space="0" w:color="auto"/>
                    <w:bottom w:val="none" w:sz="0" w:space="0" w:color="auto"/>
                    <w:right w:val="none" w:sz="0" w:space="0" w:color="auto"/>
                  </w:divBdr>
                  <w:divsChild>
                    <w:div w:id="2332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4144">
              <w:marLeft w:val="0"/>
              <w:marRight w:val="0"/>
              <w:marTop w:val="0"/>
              <w:marBottom w:val="0"/>
              <w:divBdr>
                <w:top w:val="none" w:sz="0" w:space="0" w:color="auto"/>
                <w:left w:val="none" w:sz="0" w:space="0" w:color="auto"/>
                <w:bottom w:val="none" w:sz="0" w:space="0" w:color="auto"/>
                <w:right w:val="none" w:sz="0" w:space="0" w:color="auto"/>
              </w:divBdr>
              <w:divsChild>
                <w:div w:id="1292130012">
                  <w:marLeft w:val="1200"/>
                  <w:marRight w:val="0"/>
                  <w:marTop w:val="0"/>
                  <w:marBottom w:val="75"/>
                  <w:divBdr>
                    <w:top w:val="none" w:sz="0" w:space="0" w:color="auto"/>
                    <w:left w:val="none" w:sz="0" w:space="0" w:color="auto"/>
                    <w:bottom w:val="none" w:sz="0" w:space="0" w:color="auto"/>
                    <w:right w:val="none" w:sz="0" w:space="0" w:color="auto"/>
                  </w:divBdr>
                  <w:divsChild>
                    <w:div w:id="6485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970724">
              <w:marLeft w:val="0"/>
              <w:marRight w:val="0"/>
              <w:marTop w:val="0"/>
              <w:marBottom w:val="0"/>
              <w:divBdr>
                <w:top w:val="none" w:sz="0" w:space="0" w:color="auto"/>
                <w:left w:val="none" w:sz="0" w:space="0" w:color="auto"/>
                <w:bottom w:val="none" w:sz="0" w:space="0" w:color="auto"/>
                <w:right w:val="none" w:sz="0" w:space="0" w:color="auto"/>
              </w:divBdr>
              <w:divsChild>
                <w:div w:id="1596473432">
                  <w:marLeft w:val="1200"/>
                  <w:marRight w:val="0"/>
                  <w:marTop w:val="0"/>
                  <w:marBottom w:val="75"/>
                  <w:divBdr>
                    <w:top w:val="none" w:sz="0" w:space="0" w:color="auto"/>
                    <w:left w:val="none" w:sz="0" w:space="0" w:color="auto"/>
                    <w:bottom w:val="none" w:sz="0" w:space="0" w:color="auto"/>
                    <w:right w:val="none" w:sz="0" w:space="0" w:color="auto"/>
                  </w:divBdr>
                  <w:divsChild>
                    <w:div w:id="113903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35129">
              <w:marLeft w:val="0"/>
              <w:marRight w:val="0"/>
              <w:marTop w:val="0"/>
              <w:marBottom w:val="0"/>
              <w:divBdr>
                <w:top w:val="none" w:sz="0" w:space="0" w:color="auto"/>
                <w:left w:val="none" w:sz="0" w:space="0" w:color="auto"/>
                <w:bottom w:val="none" w:sz="0" w:space="0" w:color="auto"/>
                <w:right w:val="none" w:sz="0" w:space="0" w:color="auto"/>
              </w:divBdr>
              <w:divsChild>
                <w:div w:id="503983386">
                  <w:marLeft w:val="1200"/>
                  <w:marRight w:val="0"/>
                  <w:marTop w:val="0"/>
                  <w:marBottom w:val="75"/>
                  <w:divBdr>
                    <w:top w:val="none" w:sz="0" w:space="0" w:color="auto"/>
                    <w:left w:val="none" w:sz="0" w:space="0" w:color="auto"/>
                    <w:bottom w:val="none" w:sz="0" w:space="0" w:color="auto"/>
                    <w:right w:val="none" w:sz="0" w:space="0" w:color="auto"/>
                  </w:divBdr>
                  <w:divsChild>
                    <w:div w:id="180992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80965">
              <w:marLeft w:val="0"/>
              <w:marRight w:val="0"/>
              <w:marTop w:val="0"/>
              <w:marBottom w:val="0"/>
              <w:divBdr>
                <w:top w:val="none" w:sz="0" w:space="0" w:color="auto"/>
                <w:left w:val="none" w:sz="0" w:space="0" w:color="auto"/>
                <w:bottom w:val="none" w:sz="0" w:space="0" w:color="auto"/>
                <w:right w:val="none" w:sz="0" w:space="0" w:color="auto"/>
              </w:divBdr>
              <w:divsChild>
                <w:div w:id="716202157">
                  <w:marLeft w:val="1200"/>
                  <w:marRight w:val="0"/>
                  <w:marTop w:val="0"/>
                  <w:marBottom w:val="75"/>
                  <w:divBdr>
                    <w:top w:val="none" w:sz="0" w:space="0" w:color="auto"/>
                    <w:left w:val="none" w:sz="0" w:space="0" w:color="auto"/>
                    <w:bottom w:val="none" w:sz="0" w:space="0" w:color="auto"/>
                    <w:right w:val="none" w:sz="0" w:space="0" w:color="auto"/>
                  </w:divBdr>
                  <w:divsChild>
                    <w:div w:id="8129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1268</Words>
  <Characters>7611</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c:creator>
  <cp:keywords/>
  <dc:description/>
  <cp:lastModifiedBy>OL</cp:lastModifiedBy>
  <cp:revision>2</cp:revision>
  <dcterms:created xsi:type="dcterms:W3CDTF">2020-10-25T10:18:00Z</dcterms:created>
  <dcterms:modified xsi:type="dcterms:W3CDTF">2020-10-25T10:38:00Z</dcterms:modified>
</cp:coreProperties>
</file>