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1E3" w:rsidRDefault="00574391">
      <w:pPr>
        <w:rPr>
          <w:rFonts w:ascii="Arial" w:hAnsi="Arial" w:cs="Arial"/>
          <w:b/>
          <w:sz w:val="24"/>
          <w:szCs w:val="24"/>
          <w:u w:val="single"/>
        </w:rPr>
      </w:pPr>
      <w:r w:rsidRPr="00574391">
        <w:rPr>
          <w:rFonts w:ascii="Arial" w:hAnsi="Arial" w:cs="Arial"/>
          <w:b/>
          <w:sz w:val="24"/>
          <w:szCs w:val="24"/>
          <w:u w:val="single"/>
        </w:rPr>
        <w:t>PRAWO POPYTU I PODAŻY</w:t>
      </w:r>
    </w:p>
    <w:p w:rsidR="00574391" w:rsidRDefault="00574391">
      <w:pPr>
        <w:rPr>
          <w:rFonts w:ascii="Arial" w:hAnsi="Arial" w:cs="Arial"/>
          <w:b/>
          <w:sz w:val="24"/>
          <w:szCs w:val="24"/>
          <w:u w:val="single"/>
        </w:rPr>
      </w:pPr>
    </w:p>
    <w:p w:rsidR="00574391" w:rsidRDefault="00574391">
      <w:pPr>
        <w:rPr>
          <w:rFonts w:ascii="Arial" w:hAnsi="Arial" w:cs="Arial"/>
          <w:b/>
          <w:sz w:val="24"/>
          <w:szCs w:val="24"/>
          <w:u w:val="single"/>
        </w:rPr>
      </w:pPr>
    </w:p>
    <w:p w:rsidR="00574391" w:rsidRPr="00574391" w:rsidRDefault="00574391" w:rsidP="00574391">
      <w:pPr>
        <w:pStyle w:val="NormalnyWeb"/>
        <w:jc w:val="both"/>
        <w:rPr>
          <w:rFonts w:ascii="Arial" w:hAnsi="Arial" w:cs="Arial"/>
        </w:rPr>
      </w:pPr>
      <w:r w:rsidRPr="00574391">
        <w:rPr>
          <w:rFonts w:ascii="Arial" w:hAnsi="Arial" w:cs="Arial"/>
        </w:rPr>
        <w:t>Wraz ze wzrostem ceny </w:t>
      </w:r>
      <w:r w:rsidRPr="00574391">
        <w:rPr>
          <w:rStyle w:val="Pogrubienie"/>
          <w:rFonts w:ascii="Arial" w:hAnsi="Arial" w:cs="Arial"/>
          <w:b w:val="0"/>
        </w:rPr>
        <w:t>popyt</w:t>
      </w:r>
      <w:r w:rsidRPr="00574391">
        <w:rPr>
          <w:rFonts w:ascii="Arial" w:hAnsi="Arial" w:cs="Arial"/>
        </w:rPr>
        <w:t> maleje, natomiast spadkowi ceny towarzyszy wzrost wielkości </w:t>
      </w:r>
      <w:r w:rsidRPr="00574391">
        <w:rPr>
          <w:rStyle w:val="Pogrubienie"/>
          <w:rFonts w:ascii="Arial" w:hAnsi="Arial" w:cs="Arial"/>
          <w:b w:val="0"/>
        </w:rPr>
        <w:t>popytu</w:t>
      </w:r>
      <w:r w:rsidRPr="00574391">
        <w:rPr>
          <w:rFonts w:ascii="Arial" w:hAnsi="Arial" w:cs="Arial"/>
        </w:rPr>
        <w:t>. Ilość dóbr, oferowana na rynku przez producentów przy określonej cenie. Wraz ze wzrostem ceny </w:t>
      </w:r>
      <w:r w:rsidRPr="00574391">
        <w:rPr>
          <w:rStyle w:val="Pogrubienie"/>
          <w:rFonts w:ascii="Arial" w:hAnsi="Arial" w:cs="Arial"/>
          <w:b w:val="0"/>
        </w:rPr>
        <w:t>podaż</w:t>
      </w:r>
      <w:r w:rsidRPr="00574391">
        <w:rPr>
          <w:rFonts w:ascii="Arial" w:hAnsi="Arial" w:cs="Arial"/>
        </w:rPr>
        <w:t> wzrasta, natomiast spadkowi ceny towarzyszy spadek </w:t>
      </w:r>
      <w:r w:rsidRPr="00574391">
        <w:rPr>
          <w:rStyle w:val="Pogrubienie"/>
          <w:rFonts w:ascii="Arial" w:hAnsi="Arial" w:cs="Arial"/>
          <w:b w:val="0"/>
        </w:rPr>
        <w:t>podaży</w:t>
      </w:r>
      <w:r w:rsidRPr="00574391">
        <w:rPr>
          <w:rFonts w:ascii="Arial" w:hAnsi="Arial" w:cs="Arial"/>
        </w:rPr>
        <w:t>.</w:t>
      </w:r>
    </w:p>
    <w:p w:rsidR="00574391" w:rsidRPr="00574391" w:rsidRDefault="00574391" w:rsidP="00574391">
      <w:pPr>
        <w:pStyle w:val="NormalnyWeb"/>
        <w:jc w:val="both"/>
        <w:rPr>
          <w:rFonts w:ascii="Arial" w:hAnsi="Arial" w:cs="Arial"/>
        </w:rPr>
      </w:pPr>
      <w:r w:rsidRPr="00574391">
        <w:rPr>
          <w:rFonts w:ascii="Arial" w:hAnsi="Arial" w:cs="Arial"/>
        </w:rPr>
        <w:t>Kiedy popyt zrówna się z podażą mówi się o równowadze rynkowej. Każda inna kombinacja podaży i popytu powoduje nadwyżkę lub niedobór danego dobra na rynku.</w:t>
      </w:r>
    </w:p>
    <w:p w:rsidR="00574391" w:rsidRPr="00574391" w:rsidRDefault="00574391" w:rsidP="00574391">
      <w:pPr>
        <w:jc w:val="both"/>
        <w:rPr>
          <w:rFonts w:ascii="Arial" w:hAnsi="Arial" w:cs="Arial"/>
          <w:sz w:val="24"/>
          <w:szCs w:val="24"/>
        </w:rPr>
      </w:pPr>
      <w:r w:rsidRPr="00574391">
        <w:rPr>
          <w:rFonts w:ascii="Arial" w:hAnsi="Arial" w:cs="Arial"/>
          <w:sz w:val="24"/>
          <w:szCs w:val="24"/>
        </w:rPr>
        <w:t>Cena równowagi - jak osiągnąć kompromis?</w:t>
      </w:r>
    </w:p>
    <w:p w:rsidR="00574391" w:rsidRPr="00574391" w:rsidRDefault="00574391" w:rsidP="00574391">
      <w:pPr>
        <w:jc w:val="both"/>
        <w:rPr>
          <w:rFonts w:ascii="Arial" w:hAnsi="Arial" w:cs="Arial"/>
          <w:sz w:val="24"/>
          <w:szCs w:val="24"/>
        </w:rPr>
      </w:pPr>
      <w:r w:rsidRPr="00574391">
        <w:rPr>
          <w:rFonts w:ascii="Arial" w:hAnsi="Arial" w:cs="Arial"/>
          <w:sz w:val="24"/>
          <w:szCs w:val="24"/>
        </w:rPr>
        <w:t>Jeżeli wiadomo, że sprzedawca chce sprzedać jak najdrożej, a nabywca kupić jak najtaniej, to w jaki sposób można osiągnąć kompromis, czyli cenę równowagi? Przychodzi tu z pomocą konkurencja. Zawsze jeśli uznamy, że dany produkt jest za drogi, możemy poszukać innego sprzedawcy, który oferuje go po niższej cenie. Sprzedając po zbyt wysokich cenach, sprzedawca jest narażony na utratę klienta, dlatego musi dostosować swoją politykę cenową do cen panujących na rynku. Równowaga rynkowa występuje w momencie, kiedy ilość, którą kupujący chcą kupić po danej cenie, jest równa ilości, którą sprzedający chcą sprzedać.</w:t>
      </w:r>
    </w:p>
    <w:p w:rsidR="00574391" w:rsidRPr="00574391" w:rsidRDefault="00574391" w:rsidP="00574391">
      <w:pPr>
        <w:jc w:val="both"/>
        <w:rPr>
          <w:rFonts w:ascii="Arial" w:hAnsi="Arial" w:cs="Arial"/>
          <w:sz w:val="24"/>
          <w:szCs w:val="24"/>
        </w:rPr>
      </w:pPr>
      <w:r w:rsidRPr="00574391">
        <w:rPr>
          <w:rFonts w:ascii="Arial" w:hAnsi="Arial" w:cs="Arial"/>
          <w:sz w:val="24"/>
          <w:szCs w:val="24"/>
        </w:rPr>
        <w:t>Popyt i podaż a paradoksy - czy wyjątek potwierdza regułę?</w:t>
      </w:r>
    </w:p>
    <w:p w:rsidR="00574391" w:rsidRPr="00574391" w:rsidRDefault="00574391" w:rsidP="00574391">
      <w:pPr>
        <w:jc w:val="both"/>
        <w:rPr>
          <w:rFonts w:ascii="Arial" w:hAnsi="Arial" w:cs="Arial"/>
          <w:sz w:val="24"/>
          <w:szCs w:val="24"/>
        </w:rPr>
      </w:pPr>
      <w:r w:rsidRPr="00574391">
        <w:rPr>
          <w:rFonts w:ascii="Arial" w:hAnsi="Arial" w:cs="Arial"/>
          <w:sz w:val="24"/>
          <w:szCs w:val="24"/>
        </w:rPr>
        <w:t xml:space="preserve">Zwykle wielkość popytu i podaży kształtuje się wedle zasad prawa popytu i podaży. Występują jednak sytuacje, gdy cena w stosunku do popytu i podaży reaguje w odwrotny sposób. Takie zjawiska obserwujemy, gdy dochodzi do efektu </w:t>
      </w:r>
      <w:proofErr w:type="spellStart"/>
      <w:r w:rsidRPr="00574391">
        <w:rPr>
          <w:rFonts w:ascii="Arial" w:hAnsi="Arial" w:cs="Arial"/>
          <w:sz w:val="24"/>
          <w:szCs w:val="24"/>
        </w:rPr>
        <w:t>Giffena</w:t>
      </w:r>
      <w:proofErr w:type="spellEnd"/>
      <w:r w:rsidRPr="00574391">
        <w:rPr>
          <w:rFonts w:ascii="Arial" w:hAnsi="Arial" w:cs="Arial"/>
          <w:sz w:val="24"/>
          <w:szCs w:val="24"/>
        </w:rPr>
        <w:t xml:space="preserve">, </w:t>
      </w:r>
      <w:proofErr w:type="spellStart"/>
      <w:r w:rsidRPr="00574391">
        <w:rPr>
          <w:rFonts w:ascii="Arial" w:hAnsi="Arial" w:cs="Arial"/>
          <w:sz w:val="24"/>
          <w:szCs w:val="24"/>
        </w:rPr>
        <w:t>Veblena</w:t>
      </w:r>
      <w:proofErr w:type="spellEnd"/>
      <w:r w:rsidRPr="00574391">
        <w:rPr>
          <w:rFonts w:ascii="Arial" w:hAnsi="Arial" w:cs="Arial"/>
          <w:sz w:val="24"/>
          <w:szCs w:val="24"/>
        </w:rPr>
        <w:t xml:space="preserve"> spekulacyjnego czy owczego pędu. Przyjrzyjmy się, czym charakteryzują się te paradoksy.</w:t>
      </w:r>
    </w:p>
    <w:p w:rsidR="00574391" w:rsidRPr="00574391" w:rsidRDefault="00574391" w:rsidP="00574391">
      <w:pPr>
        <w:jc w:val="both"/>
        <w:rPr>
          <w:rFonts w:ascii="Arial" w:hAnsi="Arial" w:cs="Arial"/>
          <w:sz w:val="24"/>
          <w:szCs w:val="24"/>
        </w:rPr>
      </w:pPr>
      <w:r w:rsidRPr="00574391">
        <w:rPr>
          <w:rFonts w:ascii="Arial" w:hAnsi="Arial" w:cs="Arial"/>
          <w:sz w:val="24"/>
          <w:szCs w:val="24"/>
        </w:rPr>
        <w:t xml:space="preserve">Paradoks </w:t>
      </w:r>
      <w:proofErr w:type="spellStart"/>
      <w:r w:rsidRPr="00574391">
        <w:rPr>
          <w:rFonts w:ascii="Arial" w:hAnsi="Arial" w:cs="Arial"/>
          <w:sz w:val="24"/>
          <w:szCs w:val="24"/>
        </w:rPr>
        <w:t>Giffena</w:t>
      </w:r>
      <w:proofErr w:type="spellEnd"/>
      <w:r w:rsidRPr="00574391">
        <w:rPr>
          <w:rFonts w:ascii="Arial" w:hAnsi="Arial" w:cs="Arial"/>
          <w:sz w:val="24"/>
          <w:szCs w:val="24"/>
        </w:rPr>
        <w:t xml:space="preserve"> - dotyczy konsumentów o niskich dochodach oraz dóbr niższego rzędu, które nazywane są dobrami </w:t>
      </w:r>
      <w:proofErr w:type="spellStart"/>
      <w:r w:rsidRPr="00574391">
        <w:rPr>
          <w:rFonts w:ascii="Arial" w:hAnsi="Arial" w:cs="Arial"/>
          <w:sz w:val="24"/>
          <w:szCs w:val="24"/>
        </w:rPr>
        <w:t>Giffena</w:t>
      </w:r>
      <w:proofErr w:type="spellEnd"/>
      <w:r w:rsidRPr="00574391">
        <w:rPr>
          <w:rFonts w:ascii="Arial" w:hAnsi="Arial" w:cs="Arial"/>
          <w:sz w:val="24"/>
          <w:szCs w:val="24"/>
        </w:rPr>
        <w:t>. Paradoks ten mówi, że mimo wzrostu ceny danego produktu, np. chleba, popyt na dane dobro również rośnie, jednocześnie maleje liczba  dokonywanych zakupów innych dóbr żywnościowych, takich jak np. mięso.</w:t>
      </w:r>
    </w:p>
    <w:p w:rsidR="00574391" w:rsidRPr="00574391" w:rsidRDefault="00574391" w:rsidP="00574391">
      <w:pPr>
        <w:jc w:val="both"/>
        <w:rPr>
          <w:rFonts w:ascii="Arial" w:hAnsi="Arial" w:cs="Arial"/>
          <w:sz w:val="24"/>
          <w:szCs w:val="24"/>
        </w:rPr>
      </w:pPr>
      <w:r w:rsidRPr="00574391">
        <w:rPr>
          <w:rFonts w:ascii="Arial" w:hAnsi="Arial" w:cs="Arial"/>
          <w:sz w:val="24"/>
          <w:szCs w:val="24"/>
        </w:rPr>
        <w:t xml:space="preserve">Paradoks </w:t>
      </w:r>
      <w:proofErr w:type="spellStart"/>
      <w:r w:rsidRPr="00574391">
        <w:rPr>
          <w:rFonts w:ascii="Arial" w:hAnsi="Arial" w:cs="Arial"/>
          <w:sz w:val="24"/>
          <w:szCs w:val="24"/>
        </w:rPr>
        <w:t>Veblena</w:t>
      </w:r>
      <w:proofErr w:type="spellEnd"/>
      <w:r w:rsidRPr="00574391">
        <w:rPr>
          <w:rFonts w:ascii="Arial" w:hAnsi="Arial" w:cs="Arial"/>
          <w:sz w:val="24"/>
          <w:szCs w:val="24"/>
        </w:rPr>
        <w:t xml:space="preserve"> - obserwujemy w przypadku konsumentów osiągających wysokie dochody, zainteresowanych dobrami luksusowymi. Tak samo, jak w przypadku paradoksu </w:t>
      </w:r>
      <w:proofErr w:type="spellStart"/>
      <w:r w:rsidRPr="00574391">
        <w:rPr>
          <w:rFonts w:ascii="Arial" w:hAnsi="Arial" w:cs="Arial"/>
          <w:sz w:val="24"/>
          <w:szCs w:val="24"/>
        </w:rPr>
        <w:t>Giffena</w:t>
      </w:r>
      <w:proofErr w:type="spellEnd"/>
      <w:r w:rsidRPr="00574391">
        <w:rPr>
          <w:rFonts w:ascii="Arial" w:hAnsi="Arial" w:cs="Arial"/>
          <w:sz w:val="24"/>
          <w:szCs w:val="24"/>
        </w:rPr>
        <w:t>, wraz ze wzrostem ceny produktu wzrasta popyt, jednak głównie ze względów snobistycznych.</w:t>
      </w:r>
    </w:p>
    <w:p w:rsidR="00574391" w:rsidRPr="00574391" w:rsidRDefault="00574391" w:rsidP="00574391">
      <w:pPr>
        <w:jc w:val="both"/>
        <w:rPr>
          <w:rFonts w:ascii="Arial" w:hAnsi="Arial" w:cs="Arial"/>
          <w:sz w:val="24"/>
          <w:szCs w:val="24"/>
        </w:rPr>
      </w:pPr>
      <w:r w:rsidRPr="00574391">
        <w:rPr>
          <w:rFonts w:ascii="Arial" w:hAnsi="Arial" w:cs="Arial"/>
          <w:sz w:val="24"/>
          <w:szCs w:val="24"/>
        </w:rPr>
        <w:t>Efekt spekulacyjny - w tym przypadku popyt na dane dobro wzrasta wraz z wyższą ceną, ponieważ konsument jest przekonany, że cena ta będzie w przyszłości dalej rosła.</w:t>
      </w:r>
    </w:p>
    <w:p w:rsidR="00574391" w:rsidRPr="00574391" w:rsidRDefault="00574391" w:rsidP="00574391">
      <w:pPr>
        <w:jc w:val="both"/>
        <w:rPr>
          <w:rFonts w:ascii="Arial" w:hAnsi="Arial" w:cs="Arial"/>
          <w:sz w:val="24"/>
          <w:szCs w:val="24"/>
        </w:rPr>
      </w:pPr>
    </w:p>
    <w:p w:rsidR="00574391" w:rsidRPr="00574391" w:rsidRDefault="00574391" w:rsidP="00574391">
      <w:pPr>
        <w:jc w:val="both"/>
        <w:rPr>
          <w:rFonts w:ascii="Arial" w:hAnsi="Arial" w:cs="Arial"/>
          <w:sz w:val="24"/>
          <w:szCs w:val="24"/>
        </w:rPr>
      </w:pPr>
      <w:r w:rsidRPr="00574391">
        <w:rPr>
          <w:rFonts w:ascii="Arial" w:hAnsi="Arial" w:cs="Arial"/>
          <w:sz w:val="24"/>
          <w:szCs w:val="24"/>
        </w:rPr>
        <w:lastRenderedPageBreak/>
        <w:t>Taką sytuację zaobserwowaliśmy w 2011 roku na polskim rynku, kiedy gwałtownie zaczęła wzrastać cena cukru. Wiele rodzin postanowiło zaopatrzyć się w zapasy cukru na kolejne miesiące, w obawie, że jego cena będzie coraz wyższa.</w:t>
      </w:r>
    </w:p>
    <w:p w:rsidR="00574391" w:rsidRPr="00574391" w:rsidRDefault="00574391" w:rsidP="00574391">
      <w:pPr>
        <w:jc w:val="both"/>
        <w:rPr>
          <w:rFonts w:ascii="Arial" w:hAnsi="Arial" w:cs="Arial"/>
          <w:sz w:val="24"/>
          <w:szCs w:val="24"/>
        </w:rPr>
      </w:pPr>
      <w:r w:rsidRPr="00574391">
        <w:rPr>
          <w:rFonts w:ascii="Arial" w:hAnsi="Arial" w:cs="Arial"/>
          <w:sz w:val="24"/>
          <w:szCs w:val="24"/>
        </w:rPr>
        <w:t>Efekt owczego pędu - polega na wzroście popytu na dane dobro ze względu na pojawiającą się modę. Konsumenci kupują produkty wybierane przez innych, ponieważ chcą ich naśladować bądź utożsamiać się z nimi.</w:t>
      </w:r>
    </w:p>
    <w:p w:rsidR="00574391" w:rsidRPr="00574391" w:rsidRDefault="00574391" w:rsidP="00574391">
      <w:pPr>
        <w:jc w:val="both"/>
        <w:rPr>
          <w:rFonts w:ascii="Arial" w:hAnsi="Arial" w:cs="Arial"/>
          <w:sz w:val="24"/>
          <w:szCs w:val="24"/>
        </w:rPr>
      </w:pPr>
      <w:r w:rsidRPr="00574391">
        <w:rPr>
          <w:rFonts w:ascii="Arial" w:hAnsi="Arial" w:cs="Arial"/>
          <w:sz w:val="24"/>
          <w:szCs w:val="24"/>
        </w:rPr>
        <w:t xml:space="preserve">Efekt ten świetnie wykorzystał Steve </w:t>
      </w:r>
      <w:proofErr w:type="spellStart"/>
      <w:r w:rsidRPr="00574391">
        <w:rPr>
          <w:rFonts w:ascii="Arial" w:hAnsi="Arial" w:cs="Arial"/>
          <w:sz w:val="24"/>
          <w:szCs w:val="24"/>
        </w:rPr>
        <w:t>Jobs</w:t>
      </w:r>
      <w:proofErr w:type="spellEnd"/>
      <w:r w:rsidRPr="00574391">
        <w:rPr>
          <w:rFonts w:ascii="Arial" w:hAnsi="Arial" w:cs="Arial"/>
          <w:sz w:val="24"/>
          <w:szCs w:val="24"/>
        </w:rPr>
        <w:t xml:space="preserve">, wykorzystując go dla potrzeb biznesowych. Odpowiednie techniki marketingowe wywołały modę na posiadanie </w:t>
      </w:r>
      <w:proofErr w:type="spellStart"/>
      <w:r w:rsidRPr="00574391">
        <w:rPr>
          <w:rFonts w:ascii="Arial" w:hAnsi="Arial" w:cs="Arial"/>
          <w:sz w:val="24"/>
          <w:szCs w:val="24"/>
        </w:rPr>
        <w:t>iPhone’a</w:t>
      </w:r>
      <w:proofErr w:type="spellEnd"/>
      <w:r w:rsidRPr="00574391">
        <w:rPr>
          <w:rFonts w:ascii="Arial" w:hAnsi="Arial" w:cs="Arial"/>
          <w:sz w:val="24"/>
          <w:szCs w:val="24"/>
        </w:rPr>
        <w:t xml:space="preserve"> i za sprawą efektu owczego pędu wzrósł popyt na ten produkt.</w:t>
      </w:r>
    </w:p>
    <w:p w:rsidR="00574391" w:rsidRPr="00574391" w:rsidRDefault="00574391" w:rsidP="00574391">
      <w:pPr>
        <w:jc w:val="both"/>
        <w:rPr>
          <w:rFonts w:ascii="Arial" w:hAnsi="Arial" w:cs="Arial"/>
          <w:sz w:val="24"/>
          <w:szCs w:val="24"/>
        </w:rPr>
      </w:pPr>
      <w:r w:rsidRPr="00574391">
        <w:rPr>
          <w:rFonts w:ascii="Arial" w:hAnsi="Arial" w:cs="Arial"/>
          <w:sz w:val="24"/>
          <w:szCs w:val="24"/>
        </w:rPr>
        <w:t>Rynek działa zgodnie z pewnymi regułami i rzadko zdarza się coś za sprawą przypadku. Popyt i podaż nieustannie ze sobą walczą, lecz nie mogą bez siebie istnieć, a żeby doszło do transakcji kupna i sprzedaży muszą odnaleźć punkt równowagi.</w:t>
      </w:r>
    </w:p>
    <w:p w:rsidR="00574391" w:rsidRPr="00574391" w:rsidRDefault="00574391" w:rsidP="00574391">
      <w:pPr>
        <w:jc w:val="both"/>
        <w:rPr>
          <w:rFonts w:ascii="Arial" w:hAnsi="Arial" w:cs="Arial"/>
          <w:sz w:val="24"/>
          <w:szCs w:val="24"/>
        </w:rPr>
      </w:pPr>
    </w:p>
    <w:p w:rsidR="00574391" w:rsidRPr="00574391" w:rsidRDefault="00574391" w:rsidP="00574391">
      <w:pPr>
        <w:jc w:val="both"/>
        <w:rPr>
          <w:rFonts w:ascii="Arial" w:hAnsi="Arial" w:cs="Arial"/>
          <w:b/>
          <w:sz w:val="24"/>
          <w:szCs w:val="24"/>
          <w:u w:val="single"/>
        </w:rPr>
      </w:pPr>
      <w:r w:rsidRPr="00574391">
        <w:rPr>
          <w:rFonts w:ascii="Arial" w:hAnsi="Arial" w:cs="Arial"/>
          <w:b/>
          <w:sz w:val="24"/>
          <w:szCs w:val="24"/>
          <w:u w:val="single"/>
        </w:rPr>
        <w:t>KRZYWA POPYTU I PODAŻY</w:t>
      </w:r>
    </w:p>
    <w:p w:rsidR="00574391" w:rsidRPr="00574391" w:rsidRDefault="00574391" w:rsidP="00574391">
      <w:pPr>
        <w:jc w:val="both"/>
        <w:rPr>
          <w:rFonts w:ascii="Arial" w:hAnsi="Arial" w:cs="Arial"/>
          <w:sz w:val="24"/>
          <w:szCs w:val="24"/>
        </w:rPr>
      </w:pP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b/>
          <w:bCs/>
          <w:sz w:val="24"/>
          <w:szCs w:val="24"/>
          <w:lang w:eastAsia="pl-PL"/>
        </w:rPr>
        <w:t>Krzywa popytu</w:t>
      </w:r>
      <w:r w:rsidRPr="00574391">
        <w:rPr>
          <w:rFonts w:ascii="Arial" w:eastAsia="Times New Roman" w:hAnsi="Arial" w:cs="Arial"/>
          <w:sz w:val="24"/>
          <w:szCs w:val="24"/>
          <w:lang w:eastAsia="pl-PL"/>
        </w:rPr>
        <w:t xml:space="preserve"> – krzywa używana w </w:t>
      </w:r>
      <w:hyperlink r:id="rId5" w:tooltip="Mikroekonomia" w:history="1">
        <w:r w:rsidRPr="00574391">
          <w:rPr>
            <w:rFonts w:ascii="Arial" w:eastAsia="Times New Roman" w:hAnsi="Arial" w:cs="Arial"/>
            <w:sz w:val="24"/>
            <w:szCs w:val="24"/>
            <w:u w:val="single"/>
            <w:lang w:eastAsia="pl-PL"/>
          </w:rPr>
          <w:t>mikroekonomii</w:t>
        </w:r>
      </w:hyperlink>
      <w:r w:rsidRPr="00574391">
        <w:rPr>
          <w:rFonts w:ascii="Arial" w:eastAsia="Times New Roman" w:hAnsi="Arial" w:cs="Arial"/>
          <w:sz w:val="24"/>
          <w:szCs w:val="24"/>
          <w:lang w:eastAsia="pl-PL"/>
        </w:rPr>
        <w:t xml:space="preserve">, pokazująca ilość </w:t>
      </w:r>
      <w:hyperlink r:id="rId6" w:tooltip="Dobra (ekonomia)" w:history="1">
        <w:r w:rsidRPr="00574391">
          <w:rPr>
            <w:rFonts w:ascii="Arial" w:eastAsia="Times New Roman" w:hAnsi="Arial" w:cs="Arial"/>
            <w:sz w:val="24"/>
            <w:szCs w:val="24"/>
            <w:u w:val="single"/>
            <w:lang w:eastAsia="pl-PL"/>
          </w:rPr>
          <w:t>dobra</w:t>
        </w:r>
      </w:hyperlink>
      <w:r w:rsidRPr="00574391">
        <w:rPr>
          <w:rFonts w:ascii="Arial" w:eastAsia="Times New Roman" w:hAnsi="Arial" w:cs="Arial"/>
          <w:sz w:val="24"/>
          <w:szCs w:val="24"/>
          <w:lang w:eastAsia="pl-PL"/>
        </w:rPr>
        <w:t xml:space="preserve">, które </w:t>
      </w:r>
      <w:hyperlink r:id="rId7" w:tooltip="Konsument (ekonomia)" w:history="1">
        <w:r w:rsidRPr="00574391">
          <w:rPr>
            <w:rFonts w:ascii="Arial" w:eastAsia="Times New Roman" w:hAnsi="Arial" w:cs="Arial"/>
            <w:sz w:val="24"/>
            <w:szCs w:val="24"/>
            <w:u w:val="single"/>
            <w:lang w:eastAsia="pl-PL"/>
          </w:rPr>
          <w:t>konsumenci</w:t>
        </w:r>
      </w:hyperlink>
      <w:r w:rsidRPr="00574391">
        <w:rPr>
          <w:rFonts w:ascii="Arial" w:eastAsia="Times New Roman" w:hAnsi="Arial" w:cs="Arial"/>
          <w:sz w:val="24"/>
          <w:szCs w:val="24"/>
          <w:lang w:eastAsia="pl-PL"/>
        </w:rPr>
        <w:t xml:space="preserve"> będą chcieli i mogli nabyć przy różnych </w:t>
      </w:r>
      <w:hyperlink r:id="rId8" w:tooltip="Cena (ekonomia)" w:history="1">
        <w:r w:rsidRPr="00574391">
          <w:rPr>
            <w:rFonts w:ascii="Arial" w:eastAsia="Times New Roman" w:hAnsi="Arial" w:cs="Arial"/>
            <w:sz w:val="24"/>
            <w:szCs w:val="24"/>
            <w:u w:val="single"/>
            <w:lang w:eastAsia="pl-PL"/>
          </w:rPr>
          <w:t>cenach</w:t>
        </w:r>
      </w:hyperlink>
      <w:r w:rsidRPr="00574391">
        <w:rPr>
          <w:rFonts w:ascii="Arial" w:eastAsia="Times New Roman" w:hAnsi="Arial" w:cs="Arial"/>
          <w:sz w:val="24"/>
          <w:szCs w:val="24"/>
          <w:lang w:eastAsia="pl-PL"/>
        </w:rPr>
        <w:t xml:space="preserve"> rynkowych i przy zachowaniu zasady </w:t>
      </w:r>
      <w:hyperlink r:id="rId9" w:tooltip="Ceteris paribus" w:history="1">
        <w:proofErr w:type="spellStart"/>
        <w:r w:rsidRPr="00574391">
          <w:rPr>
            <w:rFonts w:ascii="Arial" w:eastAsia="Times New Roman" w:hAnsi="Arial" w:cs="Arial"/>
            <w:i/>
            <w:iCs/>
            <w:sz w:val="24"/>
            <w:szCs w:val="24"/>
            <w:u w:val="single"/>
            <w:lang w:eastAsia="pl-PL"/>
          </w:rPr>
          <w:t>ceteris</w:t>
        </w:r>
        <w:proofErr w:type="spellEnd"/>
        <w:r w:rsidRPr="00574391">
          <w:rPr>
            <w:rFonts w:ascii="Arial" w:eastAsia="Times New Roman" w:hAnsi="Arial" w:cs="Arial"/>
            <w:i/>
            <w:iCs/>
            <w:sz w:val="24"/>
            <w:szCs w:val="24"/>
            <w:u w:val="single"/>
            <w:lang w:eastAsia="pl-PL"/>
          </w:rPr>
          <w:t xml:space="preserve"> paribus</w:t>
        </w:r>
      </w:hyperlink>
      <w:r w:rsidRPr="00574391">
        <w:rPr>
          <w:rFonts w:ascii="Arial" w:eastAsia="Times New Roman" w:hAnsi="Arial" w:cs="Arial"/>
          <w:sz w:val="24"/>
          <w:szCs w:val="24"/>
          <w:lang w:eastAsia="pl-PL"/>
        </w:rPr>
        <w:t xml:space="preserve">. </w:t>
      </w: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Chociaż to popyt na dany produkt zależy od jego ceny, tradycyjnie cenę produktu zaznaczamy na osi pionowej, natomiast ilość produktu na osi poziomej - jest to krzywa popytu według A. Marshalla. Istnieje też sposób przedstawiania krzywej opracowany przez L. </w:t>
      </w:r>
      <w:proofErr w:type="spellStart"/>
      <w:r w:rsidRPr="00574391">
        <w:rPr>
          <w:rFonts w:ascii="Arial" w:eastAsia="Times New Roman" w:hAnsi="Arial" w:cs="Arial"/>
          <w:sz w:val="24"/>
          <w:szCs w:val="24"/>
          <w:lang w:eastAsia="pl-PL"/>
        </w:rPr>
        <w:t>Walrasa</w:t>
      </w:r>
      <w:proofErr w:type="spellEnd"/>
      <w:r w:rsidRPr="00574391">
        <w:rPr>
          <w:rFonts w:ascii="Arial" w:eastAsia="Times New Roman" w:hAnsi="Arial" w:cs="Arial"/>
          <w:sz w:val="24"/>
          <w:szCs w:val="24"/>
          <w:lang w:eastAsia="pl-PL"/>
        </w:rPr>
        <w:t xml:space="preserve">, w którym osie są zamienione, oś pozioma reprezentuje cenę, natomiast pionowa - nabytą ilość. Nietrudno zatem zauważyć, że sposób L. </w:t>
      </w:r>
      <w:proofErr w:type="spellStart"/>
      <w:r w:rsidRPr="00574391">
        <w:rPr>
          <w:rFonts w:ascii="Arial" w:eastAsia="Times New Roman" w:hAnsi="Arial" w:cs="Arial"/>
          <w:sz w:val="24"/>
          <w:szCs w:val="24"/>
          <w:lang w:eastAsia="pl-PL"/>
        </w:rPr>
        <w:t>Walrasa</w:t>
      </w:r>
      <w:proofErr w:type="spellEnd"/>
      <w:r w:rsidRPr="00574391">
        <w:rPr>
          <w:rFonts w:ascii="Arial" w:eastAsia="Times New Roman" w:hAnsi="Arial" w:cs="Arial"/>
          <w:sz w:val="24"/>
          <w:szCs w:val="24"/>
          <w:lang w:eastAsia="pl-PL"/>
        </w:rPr>
        <w:t xml:space="preserve"> jest funkcją odwrotną do sposobu </w:t>
      </w:r>
      <w:proofErr w:type="spellStart"/>
      <w:r w:rsidRPr="00574391">
        <w:rPr>
          <w:rFonts w:ascii="Arial" w:eastAsia="Times New Roman" w:hAnsi="Arial" w:cs="Arial"/>
          <w:sz w:val="24"/>
          <w:szCs w:val="24"/>
          <w:lang w:eastAsia="pl-PL"/>
        </w:rPr>
        <w:t>marshallowskiego</w:t>
      </w:r>
      <w:proofErr w:type="spellEnd"/>
      <w:r w:rsidRPr="00574391">
        <w:rPr>
          <w:rFonts w:ascii="Arial" w:eastAsia="Times New Roman" w:hAnsi="Arial" w:cs="Arial"/>
          <w:sz w:val="24"/>
          <w:szCs w:val="24"/>
          <w:lang w:eastAsia="pl-PL"/>
        </w:rPr>
        <w:t xml:space="preserve"> (bardziej popularnego). </w:t>
      </w: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W punkcie A cena produktu wynosi P</w:t>
      </w:r>
      <w:r w:rsidRPr="00574391">
        <w:rPr>
          <w:rFonts w:ascii="Arial" w:eastAsia="Times New Roman" w:hAnsi="Arial" w:cs="Arial"/>
          <w:sz w:val="24"/>
          <w:szCs w:val="24"/>
          <w:vertAlign w:val="subscript"/>
          <w:lang w:eastAsia="pl-PL"/>
        </w:rPr>
        <w:t>A</w:t>
      </w:r>
      <w:r w:rsidRPr="00574391">
        <w:rPr>
          <w:rFonts w:ascii="Arial" w:eastAsia="Times New Roman" w:hAnsi="Arial" w:cs="Arial"/>
          <w:sz w:val="24"/>
          <w:szCs w:val="24"/>
          <w:lang w:eastAsia="pl-PL"/>
        </w:rPr>
        <w:t xml:space="preserve"> a zapotrzebowanie na produkt Q</w:t>
      </w:r>
      <w:r w:rsidRPr="00574391">
        <w:rPr>
          <w:rFonts w:ascii="Arial" w:eastAsia="Times New Roman" w:hAnsi="Arial" w:cs="Arial"/>
          <w:sz w:val="24"/>
          <w:szCs w:val="24"/>
          <w:vertAlign w:val="subscript"/>
          <w:lang w:eastAsia="pl-PL"/>
        </w:rPr>
        <w:t>A</w:t>
      </w:r>
      <w:r w:rsidRPr="00574391">
        <w:rPr>
          <w:rFonts w:ascii="Arial" w:eastAsia="Times New Roman" w:hAnsi="Arial" w:cs="Arial"/>
          <w:sz w:val="24"/>
          <w:szCs w:val="24"/>
          <w:lang w:eastAsia="pl-PL"/>
        </w:rPr>
        <w:t xml:space="preserve">. Jeśli cena jest niższa (tak jak w punkcie B), zazwyczaj konsumenci chcą nabyć więcej jednostek produktu. </w:t>
      </w: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Dla uproszczenia rysunku krzywa popytu jest tutaj prostą, chociaż w rzeczywistości może mieć dowolny przebieg (ale spełniający warunek, że popyt jest funkcją ceny). </w:t>
      </w: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Na ogół krzywa ta jest </w:t>
      </w:r>
      <w:hyperlink r:id="rId10" w:tooltip="Funkcja malejąca" w:history="1">
        <w:r w:rsidRPr="00574391">
          <w:rPr>
            <w:rFonts w:ascii="Arial" w:eastAsia="Times New Roman" w:hAnsi="Arial" w:cs="Arial"/>
            <w:sz w:val="24"/>
            <w:szCs w:val="24"/>
            <w:u w:val="single"/>
            <w:lang w:eastAsia="pl-PL"/>
          </w:rPr>
          <w:t>malejąca</w:t>
        </w:r>
      </w:hyperlink>
      <w:r w:rsidRPr="00574391">
        <w:rPr>
          <w:rFonts w:ascii="Arial" w:eastAsia="Times New Roman" w:hAnsi="Arial" w:cs="Arial"/>
          <w:sz w:val="24"/>
          <w:szCs w:val="24"/>
          <w:lang w:eastAsia="pl-PL"/>
        </w:rPr>
        <w:t xml:space="preserve"> choć zdarzają się kuriozalne wyjątki, gdy wzrost ceny paradoksalnie powoduje wzrost popytu. Przykładowymi przyczynami odwrotnej krzywej popytu są: </w:t>
      </w:r>
    </w:p>
    <w:p w:rsidR="00574391" w:rsidRPr="00574391" w:rsidRDefault="00574391" w:rsidP="00574391">
      <w:pPr>
        <w:numPr>
          <w:ilvl w:val="0"/>
          <w:numId w:val="1"/>
        </w:numPr>
        <w:spacing w:before="100" w:beforeAutospacing="1" w:after="100" w:afterAutospacing="1" w:line="240" w:lineRule="auto"/>
        <w:rPr>
          <w:rFonts w:ascii="Arial" w:eastAsia="Times New Roman" w:hAnsi="Arial" w:cs="Arial"/>
          <w:sz w:val="24"/>
          <w:szCs w:val="24"/>
          <w:lang w:eastAsia="pl-PL"/>
        </w:rPr>
      </w:pPr>
      <w:hyperlink r:id="rId11" w:tooltip="Paradoks Giffena" w:history="1">
        <w:r w:rsidRPr="00574391">
          <w:rPr>
            <w:rFonts w:ascii="Arial" w:eastAsia="Times New Roman" w:hAnsi="Arial" w:cs="Arial"/>
            <w:sz w:val="24"/>
            <w:szCs w:val="24"/>
            <w:u w:val="single"/>
            <w:lang w:eastAsia="pl-PL"/>
          </w:rPr>
          <w:t xml:space="preserve">paradoks </w:t>
        </w:r>
        <w:proofErr w:type="spellStart"/>
        <w:r w:rsidRPr="00574391">
          <w:rPr>
            <w:rFonts w:ascii="Arial" w:eastAsia="Times New Roman" w:hAnsi="Arial" w:cs="Arial"/>
            <w:sz w:val="24"/>
            <w:szCs w:val="24"/>
            <w:u w:val="single"/>
            <w:lang w:eastAsia="pl-PL"/>
          </w:rPr>
          <w:t>Giffena</w:t>
        </w:r>
        <w:proofErr w:type="spellEnd"/>
      </w:hyperlink>
    </w:p>
    <w:p w:rsidR="00574391" w:rsidRPr="00574391" w:rsidRDefault="00574391" w:rsidP="00574391">
      <w:pPr>
        <w:numPr>
          <w:ilvl w:val="0"/>
          <w:numId w:val="1"/>
        </w:numPr>
        <w:spacing w:before="100" w:beforeAutospacing="1" w:after="100" w:afterAutospacing="1" w:line="240" w:lineRule="auto"/>
        <w:rPr>
          <w:rFonts w:ascii="Arial" w:eastAsia="Times New Roman" w:hAnsi="Arial" w:cs="Arial"/>
          <w:sz w:val="24"/>
          <w:szCs w:val="24"/>
          <w:lang w:eastAsia="pl-PL"/>
        </w:rPr>
      </w:pPr>
      <w:hyperlink r:id="rId12" w:tooltip="Paradoks Veblena" w:history="1">
        <w:r w:rsidRPr="00574391">
          <w:rPr>
            <w:rFonts w:ascii="Arial" w:eastAsia="Times New Roman" w:hAnsi="Arial" w:cs="Arial"/>
            <w:sz w:val="24"/>
            <w:szCs w:val="24"/>
            <w:u w:val="single"/>
            <w:lang w:eastAsia="pl-PL"/>
          </w:rPr>
          <w:t xml:space="preserve">paradoks </w:t>
        </w:r>
        <w:proofErr w:type="spellStart"/>
        <w:r w:rsidRPr="00574391">
          <w:rPr>
            <w:rFonts w:ascii="Arial" w:eastAsia="Times New Roman" w:hAnsi="Arial" w:cs="Arial"/>
            <w:sz w:val="24"/>
            <w:szCs w:val="24"/>
            <w:u w:val="single"/>
            <w:lang w:eastAsia="pl-PL"/>
          </w:rPr>
          <w:t>Veblena</w:t>
        </w:r>
        <w:proofErr w:type="spellEnd"/>
      </w:hyperlink>
    </w:p>
    <w:p w:rsidR="00574391" w:rsidRPr="00574391" w:rsidRDefault="00574391" w:rsidP="00574391">
      <w:pPr>
        <w:numPr>
          <w:ilvl w:val="0"/>
          <w:numId w:val="1"/>
        </w:numPr>
        <w:spacing w:before="100" w:beforeAutospacing="1" w:after="100" w:afterAutospacing="1" w:line="240" w:lineRule="auto"/>
        <w:rPr>
          <w:rFonts w:ascii="Arial" w:eastAsia="Times New Roman" w:hAnsi="Arial" w:cs="Arial"/>
          <w:sz w:val="24"/>
          <w:szCs w:val="24"/>
          <w:lang w:eastAsia="pl-PL"/>
        </w:rPr>
      </w:pPr>
      <w:hyperlink r:id="rId13" w:tooltip="Efekt owczego pędu" w:history="1">
        <w:r w:rsidRPr="00574391">
          <w:rPr>
            <w:rFonts w:ascii="Arial" w:eastAsia="Times New Roman" w:hAnsi="Arial" w:cs="Arial"/>
            <w:sz w:val="24"/>
            <w:szCs w:val="24"/>
            <w:u w:val="single"/>
            <w:lang w:eastAsia="pl-PL"/>
          </w:rPr>
          <w:t>efekt owczego pędu</w:t>
        </w:r>
      </w:hyperlink>
    </w:p>
    <w:p w:rsidR="00574391" w:rsidRPr="00574391" w:rsidRDefault="00574391" w:rsidP="00574391">
      <w:pPr>
        <w:numPr>
          <w:ilvl w:val="0"/>
          <w:numId w:val="1"/>
        </w:numPr>
        <w:spacing w:before="100" w:beforeAutospacing="1" w:after="100" w:afterAutospacing="1" w:line="240" w:lineRule="auto"/>
        <w:rPr>
          <w:rFonts w:ascii="Arial" w:eastAsia="Times New Roman" w:hAnsi="Arial" w:cs="Arial"/>
          <w:sz w:val="24"/>
          <w:szCs w:val="24"/>
          <w:lang w:eastAsia="pl-PL"/>
        </w:rPr>
      </w:pPr>
      <w:hyperlink r:id="rId14" w:tooltip="Efekt snoba" w:history="1">
        <w:r w:rsidRPr="00574391">
          <w:rPr>
            <w:rFonts w:ascii="Arial" w:eastAsia="Times New Roman" w:hAnsi="Arial" w:cs="Arial"/>
            <w:sz w:val="24"/>
            <w:szCs w:val="24"/>
            <w:u w:val="single"/>
            <w:lang w:eastAsia="pl-PL"/>
          </w:rPr>
          <w:t>efekt snoba</w:t>
        </w:r>
      </w:hyperlink>
      <w:r w:rsidRPr="00574391">
        <w:rPr>
          <w:rFonts w:ascii="Arial" w:eastAsia="Times New Roman" w:hAnsi="Arial" w:cs="Arial"/>
          <w:sz w:val="24"/>
          <w:szCs w:val="24"/>
          <w:lang w:eastAsia="pl-PL"/>
        </w:rPr>
        <w:t xml:space="preserve"> (efekt snobizmu)</w:t>
      </w: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lastRenderedPageBreak/>
        <w:t xml:space="preserve">Krzywą popytu zestawia się zazwyczaj z </w:t>
      </w:r>
      <w:hyperlink r:id="rId15" w:tooltip="Krzywa podaży" w:history="1">
        <w:r w:rsidRPr="00574391">
          <w:rPr>
            <w:rFonts w:ascii="Arial" w:eastAsia="Times New Roman" w:hAnsi="Arial" w:cs="Arial"/>
            <w:sz w:val="24"/>
            <w:szCs w:val="24"/>
            <w:u w:val="single"/>
            <w:lang w:eastAsia="pl-PL"/>
          </w:rPr>
          <w:t>krzywą podaży</w:t>
        </w:r>
      </w:hyperlink>
      <w:r w:rsidRPr="00574391">
        <w:rPr>
          <w:rFonts w:ascii="Arial" w:eastAsia="Times New Roman" w:hAnsi="Arial" w:cs="Arial"/>
          <w:sz w:val="24"/>
          <w:szCs w:val="24"/>
          <w:lang w:eastAsia="pl-PL"/>
        </w:rPr>
        <w:t xml:space="preserve"> i razem stanowią podstawowy instrument opisujący dynamikę produktu przy zmianie jego ceny. Punkt przecięcia z krzywą podaży wyznacza </w:t>
      </w:r>
      <w:hyperlink r:id="rId16" w:tooltip="Punkt równowagi cenowej" w:history="1">
        <w:r w:rsidRPr="00574391">
          <w:rPr>
            <w:rFonts w:ascii="Arial" w:eastAsia="Times New Roman" w:hAnsi="Arial" w:cs="Arial"/>
            <w:sz w:val="24"/>
            <w:szCs w:val="24"/>
            <w:u w:val="single"/>
            <w:lang w:eastAsia="pl-PL"/>
          </w:rPr>
          <w:t>punkt równowagi cenowej</w:t>
        </w:r>
      </w:hyperlink>
      <w:r w:rsidRPr="00574391">
        <w:rPr>
          <w:rFonts w:ascii="Arial" w:eastAsia="Times New Roman" w:hAnsi="Arial" w:cs="Arial"/>
          <w:sz w:val="24"/>
          <w:szCs w:val="24"/>
          <w:lang w:eastAsia="pl-PL"/>
        </w:rPr>
        <w:t xml:space="preserve"> danego produktu. </w:t>
      </w: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Krzywa popytu przesuwa się w przypadku zmian środowiska, które zwiększają lub zmniejszają popyt na dany artykuł, np.: </w:t>
      </w:r>
    </w:p>
    <w:p w:rsidR="00574391" w:rsidRPr="00574391" w:rsidRDefault="00574391" w:rsidP="00574391">
      <w:pPr>
        <w:numPr>
          <w:ilvl w:val="0"/>
          <w:numId w:val="2"/>
        </w:num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zubożenie konsumentów</w:t>
      </w:r>
    </w:p>
    <w:p w:rsidR="00574391" w:rsidRPr="00574391" w:rsidRDefault="00574391" w:rsidP="00574391">
      <w:pPr>
        <w:numPr>
          <w:ilvl w:val="0"/>
          <w:numId w:val="2"/>
        </w:num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kampania reklamowa</w:t>
      </w:r>
    </w:p>
    <w:p w:rsidR="00574391" w:rsidRPr="00574391" w:rsidRDefault="00574391" w:rsidP="00574391">
      <w:pPr>
        <w:numPr>
          <w:ilvl w:val="0"/>
          <w:numId w:val="2"/>
        </w:num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spadek ceny </w:t>
      </w:r>
      <w:hyperlink r:id="rId17" w:tooltip="Substytut" w:history="1">
        <w:r w:rsidRPr="00574391">
          <w:rPr>
            <w:rFonts w:ascii="Arial" w:eastAsia="Times New Roman" w:hAnsi="Arial" w:cs="Arial"/>
            <w:sz w:val="24"/>
            <w:szCs w:val="24"/>
            <w:u w:val="single"/>
            <w:lang w:eastAsia="pl-PL"/>
          </w:rPr>
          <w:t>substytutu</w:t>
        </w:r>
      </w:hyperlink>
      <w:r w:rsidRPr="00574391">
        <w:rPr>
          <w:rFonts w:ascii="Arial" w:eastAsia="Times New Roman" w:hAnsi="Arial" w:cs="Arial"/>
          <w:sz w:val="24"/>
          <w:szCs w:val="24"/>
          <w:lang w:eastAsia="pl-PL"/>
        </w:rPr>
        <w:t xml:space="preserve"> danego dobra</w:t>
      </w:r>
    </w:p>
    <w:p w:rsidR="00574391" w:rsidRPr="00574391" w:rsidRDefault="00574391" w:rsidP="00574391">
      <w:pPr>
        <w:numPr>
          <w:ilvl w:val="0"/>
          <w:numId w:val="2"/>
        </w:num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wzrost ceny </w:t>
      </w:r>
      <w:hyperlink r:id="rId18" w:tooltip="Dobra komplementarne" w:history="1">
        <w:r w:rsidRPr="00574391">
          <w:rPr>
            <w:rFonts w:ascii="Arial" w:eastAsia="Times New Roman" w:hAnsi="Arial" w:cs="Arial"/>
            <w:sz w:val="24"/>
            <w:szCs w:val="24"/>
            <w:u w:val="single"/>
            <w:lang w:eastAsia="pl-PL"/>
          </w:rPr>
          <w:t>dobra komplementarnego</w:t>
        </w:r>
      </w:hyperlink>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Należy odróżnić przesuwanie się krzywej popytu od wędrówki wzdłuż tej krzywej, która spowodowana jest na ogół drobnymi fluktuacjami cen, lub przesunięciem się krzywej podaży. </w:t>
      </w:r>
    </w:p>
    <w:p w:rsidR="00574391" w:rsidRPr="00574391" w:rsidRDefault="00574391" w:rsidP="00574391">
      <w:pPr>
        <w:jc w:val="both"/>
        <w:rPr>
          <w:rFonts w:ascii="Arial" w:hAnsi="Arial" w:cs="Arial"/>
          <w:sz w:val="24"/>
          <w:szCs w:val="24"/>
        </w:rPr>
      </w:pPr>
    </w:p>
    <w:p w:rsidR="00574391" w:rsidRPr="00574391" w:rsidRDefault="00574391" w:rsidP="00574391">
      <w:pPr>
        <w:spacing w:before="100" w:beforeAutospacing="1" w:after="100" w:afterAutospacing="1" w:line="240" w:lineRule="auto"/>
        <w:rPr>
          <w:rFonts w:ascii="Arial" w:eastAsia="Times New Roman" w:hAnsi="Arial" w:cs="Arial"/>
          <w:sz w:val="24"/>
          <w:szCs w:val="24"/>
          <w:lang w:eastAsia="pl-PL"/>
        </w:rPr>
      </w:pPr>
      <w:r w:rsidRPr="00574391">
        <w:rPr>
          <w:rFonts w:ascii="Arial" w:eastAsia="Times New Roman" w:hAnsi="Arial" w:cs="Arial"/>
          <w:b/>
          <w:bCs/>
          <w:sz w:val="24"/>
          <w:szCs w:val="24"/>
          <w:lang w:eastAsia="pl-PL"/>
        </w:rPr>
        <w:t>Krzywa podaży</w:t>
      </w:r>
      <w:r w:rsidRPr="00574391">
        <w:rPr>
          <w:rFonts w:ascii="Arial" w:eastAsia="Times New Roman" w:hAnsi="Arial" w:cs="Arial"/>
          <w:sz w:val="24"/>
          <w:szCs w:val="24"/>
          <w:lang w:eastAsia="pl-PL"/>
        </w:rPr>
        <w:t xml:space="preserve"> – krzywa używana w </w:t>
      </w:r>
      <w:hyperlink r:id="rId19" w:tooltip="Mikroekonomia" w:history="1">
        <w:r w:rsidRPr="00574391">
          <w:rPr>
            <w:rFonts w:ascii="Arial" w:eastAsia="Times New Roman" w:hAnsi="Arial" w:cs="Arial"/>
            <w:sz w:val="24"/>
            <w:szCs w:val="24"/>
            <w:u w:val="single"/>
            <w:lang w:eastAsia="pl-PL"/>
          </w:rPr>
          <w:t>mikroekonomii</w:t>
        </w:r>
      </w:hyperlink>
      <w:r w:rsidRPr="00574391">
        <w:rPr>
          <w:rFonts w:ascii="Arial" w:eastAsia="Times New Roman" w:hAnsi="Arial" w:cs="Arial"/>
          <w:sz w:val="24"/>
          <w:szCs w:val="24"/>
          <w:lang w:eastAsia="pl-PL"/>
        </w:rPr>
        <w:t xml:space="preserve">, pokazująca dla danego </w:t>
      </w:r>
      <w:hyperlink r:id="rId20" w:tooltip="Dobra (ekonomia)" w:history="1">
        <w:r w:rsidRPr="00574391">
          <w:rPr>
            <w:rFonts w:ascii="Arial" w:eastAsia="Times New Roman" w:hAnsi="Arial" w:cs="Arial"/>
            <w:sz w:val="24"/>
            <w:szCs w:val="24"/>
            <w:u w:val="single"/>
            <w:lang w:eastAsia="pl-PL"/>
          </w:rPr>
          <w:t>dobra</w:t>
        </w:r>
      </w:hyperlink>
      <w:r w:rsidRPr="00574391">
        <w:rPr>
          <w:rFonts w:ascii="Arial" w:eastAsia="Times New Roman" w:hAnsi="Arial" w:cs="Arial"/>
          <w:sz w:val="24"/>
          <w:szCs w:val="24"/>
          <w:lang w:eastAsia="pl-PL"/>
        </w:rPr>
        <w:t xml:space="preserve"> ile jego jednostek (Q) są skłonni wyprodukować </w:t>
      </w:r>
      <w:hyperlink r:id="rId21" w:tooltip="Producent (ekonomia) (strona nie istnieje)" w:history="1">
        <w:r w:rsidRPr="00574391">
          <w:rPr>
            <w:rFonts w:ascii="Arial" w:eastAsia="Times New Roman" w:hAnsi="Arial" w:cs="Arial"/>
            <w:sz w:val="24"/>
            <w:szCs w:val="24"/>
            <w:u w:val="single"/>
            <w:lang w:eastAsia="pl-PL"/>
          </w:rPr>
          <w:t>producenci</w:t>
        </w:r>
      </w:hyperlink>
      <w:r w:rsidRPr="00574391">
        <w:rPr>
          <w:rFonts w:ascii="Arial" w:eastAsia="Times New Roman" w:hAnsi="Arial" w:cs="Arial"/>
          <w:sz w:val="24"/>
          <w:szCs w:val="24"/>
          <w:lang w:eastAsia="pl-PL"/>
        </w:rPr>
        <w:t xml:space="preserve"> przy danej cenie (P). </w:t>
      </w:r>
    </w:p>
    <w:p w:rsidR="00574391" w:rsidRPr="00574391" w:rsidRDefault="00574391" w:rsidP="00574391">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574391">
        <w:rPr>
          <w:rFonts w:ascii="Times New Roman" w:eastAsia="Times New Roman" w:hAnsi="Times New Roman" w:cs="Times New Roman"/>
          <w:sz w:val="24"/>
          <w:szCs w:val="24"/>
          <w:lang w:eastAsia="pl-PL"/>
        </w:rPr>
        <w:t>Krzywą podaży wykreślamy w następujący sposób:</w:t>
      </w:r>
    </w:p>
    <w:p w:rsidR="00574391" w:rsidRPr="00574391" w:rsidRDefault="00574391" w:rsidP="00574391">
      <w:pPr>
        <w:spacing w:after="0" w:line="240" w:lineRule="auto"/>
        <w:rPr>
          <w:rFonts w:ascii="Times New Roman" w:eastAsia="Times New Roman" w:hAnsi="Times New Roman" w:cs="Times New Roman"/>
          <w:sz w:val="24"/>
          <w:szCs w:val="24"/>
          <w:lang w:eastAsia="pl-PL"/>
        </w:rPr>
      </w:pPr>
      <w:r w:rsidRPr="00574391">
        <w:rPr>
          <w:rFonts w:ascii="Times New Roman" w:eastAsia="Times New Roman" w:hAnsi="Times New Roman" w:cs="Times New Roman"/>
          <w:noProof/>
          <w:color w:val="0000FF"/>
          <w:sz w:val="24"/>
          <w:szCs w:val="24"/>
          <w:lang w:eastAsia="pl-PL"/>
        </w:rPr>
        <w:drawing>
          <wp:inline distT="0" distB="0" distL="0" distR="0" wp14:anchorId="0DBAA88E" wp14:editId="425FF942">
            <wp:extent cx="4284345" cy="3217545"/>
            <wp:effectExtent l="0" t="0" r="1905" b="1905"/>
            <wp:docPr id="1" name="Obraz 1" descr="Krzywa podaży.sv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rzywa podaży.sv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4345" cy="3217545"/>
                    </a:xfrm>
                    <a:prstGeom prst="rect">
                      <a:avLst/>
                    </a:prstGeom>
                    <a:noFill/>
                    <a:ln>
                      <a:noFill/>
                    </a:ln>
                  </pic:spPr>
                </pic:pic>
              </a:graphicData>
            </a:graphic>
          </wp:inline>
        </w:drawing>
      </w:r>
    </w:p>
    <w:p w:rsidR="00574391" w:rsidRPr="00574391" w:rsidRDefault="00574391" w:rsidP="00574391">
      <w:p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Chociaż to podaż na dany produkt zależy od jego ceny, tradycyjnie cenę produktu zaznaczamy na osi pionowej, natomiast ilość produktu na osi poziomej. W punkcie A cena produktu wynosi P</w:t>
      </w:r>
      <w:r w:rsidRPr="00574391">
        <w:rPr>
          <w:rFonts w:ascii="Arial" w:eastAsia="Times New Roman" w:hAnsi="Arial" w:cs="Arial"/>
          <w:sz w:val="24"/>
          <w:szCs w:val="24"/>
          <w:vertAlign w:val="subscript"/>
          <w:lang w:eastAsia="pl-PL"/>
        </w:rPr>
        <w:t>A</w:t>
      </w:r>
      <w:r w:rsidRPr="00574391">
        <w:rPr>
          <w:rFonts w:ascii="Arial" w:eastAsia="Times New Roman" w:hAnsi="Arial" w:cs="Arial"/>
          <w:sz w:val="24"/>
          <w:szCs w:val="24"/>
          <w:lang w:eastAsia="pl-PL"/>
        </w:rPr>
        <w:t xml:space="preserve"> a ilość oferowanego produktu Q</w:t>
      </w:r>
      <w:r w:rsidRPr="00574391">
        <w:rPr>
          <w:rFonts w:ascii="Arial" w:eastAsia="Times New Roman" w:hAnsi="Arial" w:cs="Arial"/>
          <w:sz w:val="24"/>
          <w:szCs w:val="24"/>
          <w:vertAlign w:val="subscript"/>
          <w:lang w:eastAsia="pl-PL"/>
        </w:rPr>
        <w:t>A</w:t>
      </w:r>
      <w:r w:rsidRPr="00574391">
        <w:rPr>
          <w:rFonts w:ascii="Arial" w:eastAsia="Times New Roman" w:hAnsi="Arial" w:cs="Arial"/>
          <w:sz w:val="24"/>
          <w:szCs w:val="24"/>
          <w:lang w:eastAsia="pl-PL"/>
        </w:rPr>
        <w:t xml:space="preserve">. Jeśli cena jest niższa (tak jak w punkcie B), to zazwyczaj producenci chcą dostarczyć na rynek mniej jednostek produktu. </w:t>
      </w:r>
    </w:p>
    <w:p w:rsidR="00574391" w:rsidRPr="00574391" w:rsidRDefault="00574391" w:rsidP="00574391">
      <w:p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Dla uproszczenia rysunku krzywa podaży jest tutaj prostą, chociaż w rzeczywistości może mieć dowolny przebieg (ale spełniający warunek, że podaż jest funkcją ceny). </w:t>
      </w:r>
    </w:p>
    <w:p w:rsidR="00574391" w:rsidRPr="00574391" w:rsidRDefault="00574391" w:rsidP="00574391">
      <w:p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lastRenderedPageBreak/>
        <w:t xml:space="preserve">Na ogół krzywa ta jest </w:t>
      </w:r>
      <w:hyperlink r:id="rId24" w:tooltip="Funkcja rosnąca" w:history="1">
        <w:r w:rsidRPr="00574391">
          <w:rPr>
            <w:rFonts w:ascii="Arial" w:eastAsia="Times New Roman" w:hAnsi="Arial" w:cs="Arial"/>
            <w:sz w:val="24"/>
            <w:szCs w:val="24"/>
            <w:u w:val="single"/>
            <w:lang w:eastAsia="pl-PL"/>
          </w:rPr>
          <w:t>rosnąca</w:t>
        </w:r>
      </w:hyperlink>
      <w:r w:rsidRPr="00574391">
        <w:rPr>
          <w:rFonts w:ascii="Arial" w:eastAsia="Times New Roman" w:hAnsi="Arial" w:cs="Arial"/>
          <w:sz w:val="24"/>
          <w:szCs w:val="24"/>
          <w:lang w:eastAsia="pl-PL"/>
        </w:rPr>
        <w:t xml:space="preserve">. </w:t>
      </w:r>
    </w:p>
    <w:p w:rsidR="00574391" w:rsidRPr="00574391" w:rsidRDefault="00574391" w:rsidP="00574391">
      <w:p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Krzywą podaży zestawia się zazwyczaj z </w:t>
      </w:r>
      <w:hyperlink r:id="rId25" w:tooltip="Krzywa popytu" w:history="1">
        <w:r w:rsidRPr="00574391">
          <w:rPr>
            <w:rFonts w:ascii="Arial" w:eastAsia="Times New Roman" w:hAnsi="Arial" w:cs="Arial"/>
            <w:sz w:val="24"/>
            <w:szCs w:val="24"/>
            <w:u w:val="single"/>
            <w:lang w:eastAsia="pl-PL"/>
          </w:rPr>
          <w:t>krzywą popytu</w:t>
        </w:r>
      </w:hyperlink>
      <w:r w:rsidRPr="00574391">
        <w:rPr>
          <w:rFonts w:ascii="Arial" w:eastAsia="Times New Roman" w:hAnsi="Arial" w:cs="Arial"/>
          <w:sz w:val="24"/>
          <w:szCs w:val="24"/>
          <w:lang w:eastAsia="pl-PL"/>
        </w:rPr>
        <w:t xml:space="preserve"> i razem stanowią podstawowy instrument opisujący dynamikę produktu przy zmianie jego ceny. Punkt przecięcia z krzywą popytu wyznacza </w:t>
      </w:r>
      <w:hyperlink r:id="rId26" w:tooltip="Punkt równowagi cenowej" w:history="1">
        <w:r w:rsidRPr="00574391">
          <w:rPr>
            <w:rFonts w:ascii="Arial" w:eastAsia="Times New Roman" w:hAnsi="Arial" w:cs="Arial"/>
            <w:sz w:val="24"/>
            <w:szCs w:val="24"/>
            <w:u w:val="single"/>
            <w:lang w:eastAsia="pl-PL"/>
          </w:rPr>
          <w:t>punkt równowagi cenowej</w:t>
        </w:r>
      </w:hyperlink>
      <w:r w:rsidRPr="00574391">
        <w:rPr>
          <w:rFonts w:ascii="Arial" w:eastAsia="Times New Roman" w:hAnsi="Arial" w:cs="Arial"/>
          <w:sz w:val="24"/>
          <w:szCs w:val="24"/>
          <w:lang w:eastAsia="pl-PL"/>
        </w:rPr>
        <w:t xml:space="preserve"> danego produktu. </w:t>
      </w:r>
    </w:p>
    <w:p w:rsidR="00574391" w:rsidRPr="00574391" w:rsidRDefault="00574391" w:rsidP="00574391">
      <w:p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Krzywa podaży przesuwa się w przypadku zmian środowiska, które zwiększają lub zmniejszają podaż danego artykułu, np.: </w:t>
      </w:r>
    </w:p>
    <w:p w:rsidR="00574391" w:rsidRPr="00574391" w:rsidRDefault="00574391" w:rsidP="0057439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postęp techniczny</w:t>
      </w:r>
    </w:p>
    <w:p w:rsidR="00574391" w:rsidRPr="00574391" w:rsidRDefault="00574391" w:rsidP="0057439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zmiany cen surowców</w:t>
      </w:r>
    </w:p>
    <w:p w:rsidR="00574391" w:rsidRPr="00574391" w:rsidRDefault="00574391" w:rsidP="0057439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nałożenie przez państwo podatku</w:t>
      </w:r>
    </w:p>
    <w:p w:rsidR="00574391" w:rsidRPr="00574391" w:rsidRDefault="00574391" w:rsidP="00574391">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rozwój gospodarczy</w:t>
      </w:r>
    </w:p>
    <w:p w:rsidR="00574391" w:rsidRPr="00574391" w:rsidRDefault="00574391" w:rsidP="00574391">
      <w:pPr>
        <w:spacing w:before="100" w:beforeAutospacing="1" w:after="100" w:afterAutospacing="1" w:line="240" w:lineRule="auto"/>
        <w:jc w:val="both"/>
        <w:rPr>
          <w:rFonts w:ascii="Arial" w:eastAsia="Times New Roman" w:hAnsi="Arial" w:cs="Arial"/>
          <w:sz w:val="24"/>
          <w:szCs w:val="24"/>
          <w:lang w:eastAsia="pl-PL"/>
        </w:rPr>
      </w:pPr>
      <w:r w:rsidRPr="00574391">
        <w:rPr>
          <w:rFonts w:ascii="Arial" w:eastAsia="Times New Roman" w:hAnsi="Arial" w:cs="Arial"/>
          <w:sz w:val="24"/>
          <w:szCs w:val="24"/>
          <w:lang w:eastAsia="pl-PL"/>
        </w:rPr>
        <w:t xml:space="preserve">Należy odróżnić przesuwanie się krzywej podaży od wędrówki wzdłuż tej krzywej, która spowodowana jest na ogół drobnymi fluktuacjami cen, lub przesunięciem się krzywej popytu. </w:t>
      </w:r>
    </w:p>
    <w:p w:rsidR="00574391" w:rsidRPr="00574391" w:rsidRDefault="00574391" w:rsidP="00574391">
      <w:pPr>
        <w:spacing w:after="0" w:line="240" w:lineRule="auto"/>
        <w:rPr>
          <w:rFonts w:ascii="Times New Roman" w:eastAsia="Times New Roman" w:hAnsi="Times New Roman" w:cs="Times New Roman"/>
          <w:sz w:val="24"/>
          <w:szCs w:val="24"/>
          <w:lang w:eastAsia="pl-PL"/>
        </w:rPr>
      </w:pPr>
      <w:r w:rsidRPr="00574391">
        <w:rPr>
          <w:rFonts w:ascii="Times New Roman" w:eastAsia="Times New Roman" w:hAnsi="Times New Roman" w:cs="Times New Roman"/>
          <w:noProof/>
          <w:color w:val="0000FF"/>
          <w:sz w:val="24"/>
          <w:szCs w:val="24"/>
          <w:lang w:eastAsia="pl-PL"/>
        </w:rPr>
        <w:drawing>
          <wp:inline distT="0" distB="0" distL="0" distR="0" wp14:anchorId="4CE0FF17" wp14:editId="361A559D">
            <wp:extent cx="4284345" cy="3217545"/>
            <wp:effectExtent l="0" t="0" r="1905" b="1905"/>
            <wp:docPr id="2" name="Obraz 2" descr="Krzywa podaży-przesunięcie krzywej.sv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rzywa podaży-przesunięcie krzywej.sv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84345" cy="3217545"/>
                    </a:xfrm>
                    <a:prstGeom prst="rect">
                      <a:avLst/>
                    </a:prstGeom>
                    <a:noFill/>
                    <a:ln>
                      <a:noFill/>
                    </a:ln>
                  </pic:spPr>
                </pic:pic>
              </a:graphicData>
            </a:graphic>
          </wp:inline>
        </w:drawing>
      </w:r>
    </w:p>
    <w:p w:rsidR="00574391" w:rsidRPr="00574391" w:rsidRDefault="00574391" w:rsidP="00574391">
      <w:pPr>
        <w:spacing w:after="0" w:line="240" w:lineRule="auto"/>
        <w:rPr>
          <w:rFonts w:ascii="Times New Roman" w:eastAsia="Times New Roman" w:hAnsi="Times New Roman" w:cs="Times New Roman"/>
          <w:sz w:val="24"/>
          <w:szCs w:val="24"/>
          <w:lang w:eastAsia="pl-PL"/>
        </w:rPr>
      </w:pPr>
      <w:r w:rsidRPr="00574391">
        <w:rPr>
          <w:rFonts w:ascii="Times New Roman" w:eastAsia="Times New Roman" w:hAnsi="Times New Roman" w:cs="Times New Roman"/>
          <w:noProof/>
          <w:color w:val="0000FF"/>
          <w:sz w:val="24"/>
          <w:szCs w:val="24"/>
          <w:lang w:eastAsia="pl-PL"/>
        </w:rPr>
        <w:lastRenderedPageBreak/>
        <w:drawing>
          <wp:inline distT="0" distB="0" distL="0" distR="0" wp14:anchorId="6EA6F556" wp14:editId="392B5FB8">
            <wp:extent cx="4284345" cy="3217545"/>
            <wp:effectExtent l="0" t="0" r="1905" b="1905"/>
            <wp:docPr id="3" name="Obraz 3" descr="Krzywa podaży-przesunięcie po krzywej.sv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rzywa podaży-przesunięcie po krzywej.sv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84345" cy="3217545"/>
                    </a:xfrm>
                    <a:prstGeom prst="rect">
                      <a:avLst/>
                    </a:prstGeom>
                    <a:noFill/>
                    <a:ln>
                      <a:noFill/>
                    </a:ln>
                  </pic:spPr>
                </pic:pic>
              </a:graphicData>
            </a:graphic>
          </wp:inline>
        </w:drawing>
      </w:r>
    </w:p>
    <w:p w:rsidR="00574391" w:rsidRDefault="00574391" w:rsidP="00574391">
      <w:pPr>
        <w:jc w:val="both"/>
        <w:rPr>
          <w:rFonts w:ascii="Times New Roman" w:eastAsia="Times New Roman" w:hAnsi="Times New Roman" w:cs="Times New Roman"/>
          <w:b/>
          <w:bCs/>
          <w:sz w:val="36"/>
          <w:szCs w:val="36"/>
          <w:lang w:eastAsia="pl-PL"/>
        </w:rPr>
      </w:pPr>
    </w:p>
    <w:p w:rsidR="00574391" w:rsidRDefault="00574391" w:rsidP="00574391">
      <w:pPr>
        <w:jc w:val="both"/>
        <w:rPr>
          <w:rFonts w:ascii="Times New Roman" w:eastAsia="Times New Roman" w:hAnsi="Times New Roman" w:cs="Times New Roman"/>
          <w:b/>
          <w:bCs/>
          <w:sz w:val="36"/>
          <w:szCs w:val="36"/>
          <w:lang w:eastAsia="pl-PL"/>
        </w:rPr>
      </w:pPr>
    </w:p>
    <w:p w:rsidR="00574391" w:rsidRDefault="00574391" w:rsidP="00574391">
      <w:pPr>
        <w:jc w:val="both"/>
        <w:rPr>
          <w:rFonts w:ascii="Arial" w:eastAsia="Times New Roman" w:hAnsi="Arial" w:cs="Arial"/>
          <w:b/>
          <w:bCs/>
          <w:sz w:val="24"/>
          <w:szCs w:val="24"/>
          <w:u w:val="single"/>
          <w:lang w:eastAsia="pl-PL"/>
        </w:rPr>
      </w:pPr>
      <w:r w:rsidRPr="00574391">
        <w:rPr>
          <w:rFonts w:ascii="Arial" w:eastAsia="Times New Roman" w:hAnsi="Arial" w:cs="Arial"/>
          <w:b/>
          <w:bCs/>
          <w:sz w:val="24"/>
          <w:szCs w:val="24"/>
          <w:u w:val="single"/>
          <w:lang w:eastAsia="pl-PL"/>
        </w:rPr>
        <w:t>FUNKCJE BUDŻETU PAŃSTWA</w:t>
      </w:r>
    </w:p>
    <w:p w:rsidR="00574391" w:rsidRDefault="00574391" w:rsidP="00574391">
      <w:pPr>
        <w:jc w:val="both"/>
        <w:rPr>
          <w:rFonts w:ascii="Arial" w:eastAsia="Times New Roman" w:hAnsi="Arial" w:cs="Arial"/>
          <w:b/>
          <w:bCs/>
          <w:sz w:val="24"/>
          <w:szCs w:val="24"/>
          <w:u w:val="single"/>
          <w:lang w:eastAsia="pl-PL"/>
        </w:rPr>
      </w:pP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b/>
          <w:bCs/>
          <w:sz w:val="24"/>
          <w:szCs w:val="24"/>
          <w:lang w:eastAsia="pl-PL"/>
        </w:rPr>
        <w:t>Budżet państwa</w:t>
      </w:r>
      <w:r w:rsidRPr="006A1002">
        <w:rPr>
          <w:rFonts w:ascii="Arial" w:eastAsia="Times New Roman" w:hAnsi="Arial" w:cs="Arial"/>
          <w:sz w:val="24"/>
          <w:szCs w:val="24"/>
          <w:lang w:eastAsia="pl-PL"/>
        </w:rPr>
        <w:t xml:space="preserve"> – podstawowy </w:t>
      </w:r>
      <w:hyperlink r:id="rId31" w:tooltip="Plan finansowy" w:history="1">
        <w:r w:rsidRPr="006A1002">
          <w:rPr>
            <w:rFonts w:ascii="Arial" w:eastAsia="Times New Roman" w:hAnsi="Arial" w:cs="Arial"/>
            <w:sz w:val="24"/>
            <w:szCs w:val="24"/>
            <w:lang w:eastAsia="pl-PL"/>
          </w:rPr>
          <w:t>plan finansowy</w:t>
        </w:r>
      </w:hyperlink>
      <w:r w:rsidRPr="006A1002">
        <w:rPr>
          <w:rFonts w:ascii="Arial" w:eastAsia="Times New Roman" w:hAnsi="Arial" w:cs="Arial"/>
          <w:sz w:val="24"/>
          <w:szCs w:val="24"/>
          <w:lang w:eastAsia="pl-PL"/>
        </w:rPr>
        <w:t xml:space="preserve"> obejmujący </w:t>
      </w:r>
      <w:hyperlink r:id="rId32" w:tooltip="Dochody budżetu państwa" w:history="1">
        <w:r w:rsidRPr="006A1002">
          <w:rPr>
            <w:rFonts w:ascii="Arial" w:eastAsia="Times New Roman" w:hAnsi="Arial" w:cs="Arial"/>
            <w:sz w:val="24"/>
            <w:szCs w:val="24"/>
            <w:lang w:eastAsia="pl-PL"/>
          </w:rPr>
          <w:t>dochody</w:t>
        </w:r>
      </w:hyperlink>
      <w:r w:rsidRPr="006A1002">
        <w:rPr>
          <w:rFonts w:ascii="Arial" w:eastAsia="Times New Roman" w:hAnsi="Arial" w:cs="Arial"/>
          <w:sz w:val="24"/>
          <w:szCs w:val="24"/>
          <w:lang w:eastAsia="pl-PL"/>
        </w:rPr>
        <w:t xml:space="preserve"> i </w:t>
      </w:r>
      <w:hyperlink r:id="rId33" w:tooltip="Wydatki budżetu państwa" w:history="1">
        <w:r w:rsidRPr="006A1002">
          <w:rPr>
            <w:rFonts w:ascii="Arial" w:eastAsia="Times New Roman" w:hAnsi="Arial" w:cs="Arial"/>
            <w:sz w:val="24"/>
            <w:szCs w:val="24"/>
            <w:lang w:eastAsia="pl-PL"/>
          </w:rPr>
          <w:t>wydatki państwa</w:t>
        </w:r>
      </w:hyperlink>
      <w:r w:rsidRPr="006A1002">
        <w:rPr>
          <w:rFonts w:ascii="Arial" w:eastAsia="Times New Roman" w:hAnsi="Arial" w:cs="Arial"/>
          <w:sz w:val="24"/>
          <w:szCs w:val="24"/>
          <w:lang w:eastAsia="pl-PL"/>
        </w:rPr>
        <w:t xml:space="preserve"> (władzy rządowej), uchwalany na okres </w:t>
      </w:r>
      <w:hyperlink r:id="rId34" w:tooltip="Rok budżetowy (strona nie istnieje)" w:history="1">
        <w:r w:rsidRPr="006A1002">
          <w:rPr>
            <w:rFonts w:ascii="Arial" w:eastAsia="Times New Roman" w:hAnsi="Arial" w:cs="Arial"/>
            <w:sz w:val="24"/>
            <w:szCs w:val="24"/>
            <w:lang w:eastAsia="pl-PL"/>
          </w:rPr>
          <w:t>roku budżetowego</w:t>
        </w:r>
      </w:hyperlink>
      <w:r w:rsidRPr="006A1002">
        <w:rPr>
          <w:rFonts w:ascii="Arial" w:eastAsia="Times New Roman" w:hAnsi="Arial" w:cs="Arial"/>
          <w:sz w:val="24"/>
          <w:szCs w:val="24"/>
          <w:lang w:eastAsia="pl-PL"/>
        </w:rPr>
        <w:t xml:space="preserve"> (w większości krajów rok budżetowy pokrywa się z </w:t>
      </w:r>
      <w:hyperlink r:id="rId35" w:tooltip="Rok" w:history="1">
        <w:r w:rsidRPr="006A1002">
          <w:rPr>
            <w:rFonts w:ascii="Arial" w:eastAsia="Times New Roman" w:hAnsi="Arial" w:cs="Arial"/>
            <w:sz w:val="24"/>
            <w:szCs w:val="24"/>
            <w:lang w:eastAsia="pl-PL"/>
          </w:rPr>
          <w:t>rokiem kalendarzowym</w:t>
        </w:r>
      </w:hyperlink>
      <w:r w:rsidRPr="006A1002">
        <w:rPr>
          <w:rFonts w:ascii="Arial" w:eastAsia="Times New Roman" w:hAnsi="Arial" w:cs="Arial"/>
          <w:sz w:val="24"/>
          <w:szCs w:val="24"/>
          <w:lang w:eastAsia="pl-PL"/>
        </w:rPr>
        <w:t xml:space="preserve">, ale np. w </w:t>
      </w:r>
      <w:hyperlink r:id="rId36" w:tooltip="Wielka Brytania" w:history="1">
        <w:r w:rsidRPr="006A1002">
          <w:rPr>
            <w:rFonts w:ascii="Arial" w:eastAsia="Times New Roman" w:hAnsi="Arial" w:cs="Arial"/>
            <w:sz w:val="24"/>
            <w:szCs w:val="24"/>
            <w:lang w:eastAsia="pl-PL"/>
          </w:rPr>
          <w:t>Wielkiej Brytanii</w:t>
        </w:r>
      </w:hyperlink>
      <w:r w:rsidRPr="006A1002">
        <w:rPr>
          <w:rFonts w:ascii="Arial" w:eastAsia="Times New Roman" w:hAnsi="Arial" w:cs="Arial"/>
          <w:sz w:val="24"/>
          <w:szCs w:val="24"/>
          <w:lang w:eastAsia="pl-PL"/>
        </w:rPr>
        <w:t xml:space="preserve"> zaczyna się w kwietniu, w </w:t>
      </w:r>
      <w:hyperlink r:id="rId37" w:tooltip="Stany Zjednoczone" w:history="1">
        <w:r w:rsidRPr="006A1002">
          <w:rPr>
            <w:rFonts w:ascii="Arial" w:eastAsia="Times New Roman" w:hAnsi="Arial" w:cs="Arial"/>
            <w:sz w:val="24"/>
            <w:szCs w:val="24"/>
            <w:lang w:eastAsia="pl-PL"/>
          </w:rPr>
          <w:t>Stanach Zjednoczonych</w:t>
        </w:r>
      </w:hyperlink>
      <w:r w:rsidRPr="006A1002">
        <w:rPr>
          <w:rFonts w:ascii="Arial" w:eastAsia="Times New Roman" w:hAnsi="Arial" w:cs="Arial"/>
          <w:sz w:val="24"/>
          <w:szCs w:val="24"/>
          <w:lang w:eastAsia="pl-PL"/>
        </w:rPr>
        <w:t xml:space="preserve"> w październiku). </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Jako dochody budżetu państwa uwzględnia się m.in.: wpływy z </w:t>
      </w:r>
      <w:hyperlink r:id="rId38" w:tooltip="Podatek pośredni" w:history="1">
        <w:r w:rsidRPr="006A1002">
          <w:rPr>
            <w:rFonts w:ascii="Arial" w:eastAsia="Times New Roman" w:hAnsi="Arial" w:cs="Arial"/>
            <w:sz w:val="24"/>
            <w:szCs w:val="24"/>
            <w:lang w:eastAsia="pl-PL"/>
          </w:rPr>
          <w:t>podatków pośrednich</w:t>
        </w:r>
      </w:hyperlink>
      <w:r w:rsidRPr="006A1002">
        <w:rPr>
          <w:rFonts w:ascii="Arial" w:eastAsia="Times New Roman" w:hAnsi="Arial" w:cs="Arial"/>
          <w:sz w:val="24"/>
          <w:szCs w:val="24"/>
          <w:lang w:eastAsia="pl-PL"/>
        </w:rPr>
        <w:t xml:space="preserve"> i </w:t>
      </w:r>
      <w:hyperlink r:id="rId39" w:tooltip="Podatek bezpośredni" w:history="1">
        <w:r w:rsidRPr="006A1002">
          <w:rPr>
            <w:rFonts w:ascii="Arial" w:eastAsia="Times New Roman" w:hAnsi="Arial" w:cs="Arial"/>
            <w:sz w:val="24"/>
            <w:szCs w:val="24"/>
            <w:lang w:eastAsia="pl-PL"/>
          </w:rPr>
          <w:t>bezpośrednich</w:t>
        </w:r>
      </w:hyperlink>
      <w:r w:rsidRPr="006A1002">
        <w:rPr>
          <w:rFonts w:ascii="Arial" w:eastAsia="Times New Roman" w:hAnsi="Arial" w:cs="Arial"/>
          <w:sz w:val="24"/>
          <w:szCs w:val="24"/>
          <w:lang w:eastAsia="pl-PL"/>
        </w:rPr>
        <w:t xml:space="preserve">, dochody niepodatkowe (np. </w:t>
      </w:r>
      <w:hyperlink r:id="rId40" w:tooltip="Cło" w:history="1">
        <w:r w:rsidRPr="006A1002">
          <w:rPr>
            <w:rFonts w:ascii="Arial" w:eastAsia="Times New Roman" w:hAnsi="Arial" w:cs="Arial"/>
            <w:sz w:val="24"/>
            <w:szCs w:val="24"/>
            <w:lang w:eastAsia="pl-PL"/>
          </w:rPr>
          <w:t>cła</w:t>
        </w:r>
      </w:hyperlink>
      <w:r w:rsidRPr="006A1002">
        <w:rPr>
          <w:rFonts w:ascii="Arial" w:eastAsia="Times New Roman" w:hAnsi="Arial" w:cs="Arial"/>
          <w:sz w:val="24"/>
          <w:szCs w:val="24"/>
          <w:lang w:eastAsia="pl-PL"/>
        </w:rPr>
        <w:t xml:space="preserve">), dochody </w:t>
      </w:r>
      <w:hyperlink r:id="rId41" w:tooltip="Jednostka budżetowa" w:history="1">
        <w:r w:rsidRPr="006A1002">
          <w:rPr>
            <w:rFonts w:ascii="Arial" w:eastAsia="Times New Roman" w:hAnsi="Arial" w:cs="Arial"/>
            <w:sz w:val="24"/>
            <w:szCs w:val="24"/>
            <w:lang w:eastAsia="pl-PL"/>
          </w:rPr>
          <w:t>jednostek budżetowych</w:t>
        </w:r>
      </w:hyperlink>
      <w:r w:rsidRPr="006A1002">
        <w:rPr>
          <w:rFonts w:ascii="Arial" w:eastAsia="Times New Roman" w:hAnsi="Arial" w:cs="Arial"/>
          <w:sz w:val="24"/>
          <w:szCs w:val="24"/>
          <w:lang w:eastAsia="pl-PL"/>
        </w:rPr>
        <w:t xml:space="preserve"> oraz </w:t>
      </w:r>
      <w:hyperlink r:id="rId42" w:tooltip="Dochód zagraniczny (strona nie istnieje)" w:history="1">
        <w:r w:rsidRPr="006A1002">
          <w:rPr>
            <w:rFonts w:ascii="Arial" w:eastAsia="Times New Roman" w:hAnsi="Arial" w:cs="Arial"/>
            <w:sz w:val="24"/>
            <w:szCs w:val="24"/>
            <w:lang w:eastAsia="pl-PL"/>
          </w:rPr>
          <w:t>dochody zagraniczne</w:t>
        </w:r>
      </w:hyperlink>
      <w:r w:rsidRPr="006A1002">
        <w:rPr>
          <w:rFonts w:ascii="Arial" w:eastAsia="Times New Roman" w:hAnsi="Arial" w:cs="Arial"/>
          <w:sz w:val="24"/>
          <w:szCs w:val="24"/>
          <w:lang w:eastAsia="pl-PL"/>
        </w:rPr>
        <w:t xml:space="preserve">. Mianem wydatków określa się m.in. koszty </w:t>
      </w:r>
      <w:hyperlink r:id="rId43" w:tooltip="Dotacja" w:history="1">
        <w:r w:rsidRPr="006A1002">
          <w:rPr>
            <w:rFonts w:ascii="Arial" w:eastAsia="Times New Roman" w:hAnsi="Arial" w:cs="Arial"/>
            <w:sz w:val="24"/>
            <w:szCs w:val="24"/>
            <w:lang w:eastAsia="pl-PL"/>
          </w:rPr>
          <w:t>dotacji</w:t>
        </w:r>
      </w:hyperlink>
      <w:r w:rsidRPr="006A1002">
        <w:rPr>
          <w:rFonts w:ascii="Arial" w:eastAsia="Times New Roman" w:hAnsi="Arial" w:cs="Arial"/>
          <w:sz w:val="24"/>
          <w:szCs w:val="24"/>
          <w:lang w:eastAsia="pl-PL"/>
        </w:rPr>
        <w:t xml:space="preserve">, obsługi </w:t>
      </w:r>
      <w:hyperlink r:id="rId44" w:tooltip="Dług publiczny" w:history="1">
        <w:r w:rsidRPr="006A1002">
          <w:rPr>
            <w:rFonts w:ascii="Arial" w:eastAsia="Times New Roman" w:hAnsi="Arial" w:cs="Arial"/>
            <w:sz w:val="24"/>
            <w:szCs w:val="24"/>
            <w:lang w:eastAsia="pl-PL"/>
          </w:rPr>
          <w:t>długu publicznego</w:t>
        </w:r>
      </w:hyperlink>
      <w:r w:rsidRPr="006A1002">
        <w:rPr>
          <w:rFonts w:ascii="Arial" w:eastAsia="Times New Roman" w:hAnsi="Arial" w:cs="Arial"/>
          <w:sz w:val="24"/>
          <w:szCs w:val="24"/>
          <w:lang w:eastAsia="pl-PL"/>
        </w:rPr>
        <w:t xml:space="preserve">, obsługi </w:t>
      </w:r>
      <w:hyperlink r:id="rId45" w:tooltip="Sfera budżetowa (strona nie istnieje)" w:history="1">
        <w:r w:rsidRPr="006A1002">
          <w:rPr>
            <w:rFonts w:ascii="Arial" w:eastAsia="Times New Roman" w:hAnsi="Arial" w:cs="Arial"/>
            <w:sz w:val="24"/>
            <w:szCs w:val="24"/>
            <w:lang w:eastAsia="pl-PL"/>
          </w:rPr>
          <w:t>sfery budżetowej</w:t>
        </w:r>
      </w:hyperlink>
      <w:r w:rsidRPr="006A1002">
        <w:rPr>
          <w:rFonts w:ascii="Arial" w:eastAsia="Times New Roman" w:hAnsi="Arial" w:cs="Arial"/>
          <w:sz w:val="24"/>
          <w:szCs w:val="24"/>
          <w:lang w:eastAsia="pl-PL"/>
        </w:rPr>
        <w:t xml:space="preserve">, rozliczeń z </w:t>
      </w:r>
      <w:hyperlink r:id="rId46" w:tooltip="Bank" w:history="1">
        <w:r w:rsidRPr="006A1002">
          <w:rPr>
            <w:rFonts w:ascii="Arial" w:eastAsia="Times New Roman" w:hAnsi="Arial" w:cs="Arial"/>
            <w:sz w:val="24"/>
            <w:szCs w:val="24"/>
            <w:lang w:eastAsia="pl-PL"/>
          </w:rPr>
          <w:t>bankami</w:t>
        </w:r>
      </w:hyperlink>
      <w:r w:rsidRPr="006A1002">
        <w:rPr>
          <w:rFonts w:ascii="Arial" w:eastAsia="Times New Roman" w:hAnsi="Arial" w:cs="Arial"/>
          <w:sz w:val="24"/>
          <w:szCs w:val="24"/>
          <w:lang w:eastAsia="pl-PL"/>
        </w:rPr>
        <w:t xml:space="preserve">, </w:t>
      </w:r>
      <w:hyperlink r:id="rId47" w:tooltip="Subwencja" w:history="1">
        <w:r w:rsidRPr="006A1002">
          <w:rPr>
            <w:rFonts w:ascii="Arial" w:eastAsia="Times New Roman" w:hAnsi="Arial" w:cs="Arial"/>
            <w:sz w:val="24"/>
            <w:szCs w:val="24"/>
            <w:lang w:eastAsia="pl-PL"/>
          </w:rPr>
          <w:t>subwencji</w:t>
        </w:r>
      </w:hyperlink>
      <w:r w:rsidRPr="006A1002">
        <w:rPr>
          <w:rFonts w:ascii="Arial" w:eastAsia="Times New Roman" w:hAnsi="Arial" w:cs="Arial"/>
          <w:sz w:val="24"/>
          <w:szCs w:val="24"/>
          <w:lang w:eastAsia="pl-PL"/>
        </w:rPr>
        <w:t xml:space="preserve"> dla gmin oraz rezerw ogólnych. </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Termin „budżet” pochodzi z łacińskiego </w:t>
      </w:r>
      <w:proofErr w:type="spellStart"/>
      <w:r w:rsidRPr="006A1002">
        <w:rPr>
          <w:rFonts w:ascii="Arial" w:eastAsia="Times New Roman" w:hAnsi="Arial" w:cs="Arial"/>
          <w:i/>
          <w:iCs/>
          <w:sz w:val="24"/>
          <w:szCs w:val="24"/>
          <w:lang w:eastAsia="pl-PL"/>
        </w:rPr>
        <w:t>bulga</w:t>
      </w:r>
      <w:proofErr w:type="spellEnd"/>
      <w:r w:rsidRPr="006A1002">
        <w:rPr>
          <w:rFonts w:ascii="Arial" w:eastAsia="Times New Roman" w:hAnsi="Arial" w:cs="Arial"/>
          <w:sz w:val="24"/>
          <w:szCs w:val="24"/>
          <w:lang w:eastAsia="pl-PL"/>
        </w:rPr>
        <w:t>, oznaczającego skórzany mieszek przeznaczony do zbierania dochodów. Słowo to przyjęło się następnie w wielu językach (</w:t>
      </w:r>
      <w:hyperlink r:id="rId48" w:tooltip="Język angielski" w:history="1">
        <w:r w:rsidRPr="006A1002">
          <w:rPr>
            <w:rFonts w:ascii="Arial" w:eastAsia="Times New Roman" w:hAnsi="Arial" w:cs="Arial"/>
            <w:sz w:val="24"/>
            <w:szCs w:val="24"/>
            <w:lang w:eastAsia="pl-PL"/>
          </w:rPr>
          <w:t>ang.</w:t>
        </w:r>
      </w:hyperlink>
      <w:r w:rsidRPr="006A1002">
        <w:rPr>
          <w:rFonts w:ascii="Arial" w:eastAsia="Times New Roman" w:hAnsi="Arial" w:cs="Arial"/>
          <w:sz w:val="24"/>
          <w:szCs w:val="24"/>
          <w:lang w:eastAsia="pl-PL"/>
        </w:rPr>
        <w:t xml:space="preserve"> </w:t>
      </w:r>
      <w:proofErr w:type="spellStart"/>
      <w:r w:rsidRPr="006A1002">
        <w:rPr>
          <w:rFonts w:ascii="Arial" w:eastAsia="Times New Roman" w:hAnsi="Arial" w:cs="Arial"/>
          <w:i/>
          <w:iCs/>
          <w:sz w:val="24"/>
          <w:szCs w:val="24"/>
          <w:lang w:eastAsia="pl-PL"/>
        </w:rPr>
        <w:t>budget</w:t>
      </w:r>
      <w:proofErr w:type="spellEnd"/>
      <w:r w:rsidRPr="006A1002">
        <w:rPr>
          <w:rFonts w:ascii="Arial" w:eastAsia="Times New Roman" w:hAnsi="Arial" w:cs="Arial"/>
          <w:sz w:val="24"/>
          <w:szCs w:val="24"/>
          <w:lang w:eastAsia="pl-PL"/>
        </w:rPr>
        <w:t xml:space="preserve">, </w:t>
      </w:r>
      <w:proofErr w:type="spellStart"/>
      <w:r w:rsidRPr="006A1002">
        <w:rPr>
          <w:rFonts w:ascii="Arial" w:eastAsia="Times New Roman" w:hAnsi="Arial" w:cs="Arial"/>
          <w:sz w:val="24"/>
          <w:szCs w:val="24"/>
          <w:lang w:eastAsia="pl-PL"/>
        </w:rPr>
        <w:t>starofr</w:t>
      </w:r>
      <w:proofErr w:type="spellEnd"/>
      <w:r w:rsidRPr="006A1002">
        <w:rPr>
          <w:rFonts w:ascii="Arial" w:eastAsia="Times New Roman" w:hAnsi="Arial" w:cs="Arial"/>
          <w:sz w:val="24"/>
          <w:szCs w:val="24"/>
          <w:lang w:eastAsia="pl-PL"/>
        </w:rPr>
        <w:t xml:space="preserve">. </w:t>
      </w:r>
      <w:proofErr w:type="spellStart"/>
      <w:r w:rsidRPr="006A1002">
        <w:rPr>
          <w:rFonts w:ascii="Arial" w:eastAsia="Times New Roman" w:hAnsi="Arial" w:cs="Arial"/>
          <w:i/>
          <w:iCs/>
          <w:sz w:val="24"/>
          <w:szCs w:val="24"/>
          <w:lang w:eastAsia="pl-PL"/>
        </w:rPr>
        <w:t>bougette</w:t>
      </w:r>
      <w:proofErr w:type="spellEnd"/>
      <w:r w:rsidRPr="006A1002">
        <w:rPr>
          <w:rFonts w:ascii="Arial" w:eastAsia="Times New Roman" w:hAnsi="Arial" w:cs="Arial"/>
          <w:sz w:val="24"/>
          <w:szCs w:val="24"/>
          <w:lang w:eastAsia="pl-PL"/>
        </w:rPr>
        <w:t xml:space="preserve">, </w:t>
      </w:r>
      <w:hyperlink r:id="rId49" w:tooltip="Język francuski" w:history="1">
        <w:r w:rsidRPr="006A1002">
          <w:rPr>
            <w:rFonts w:ascii="Arial" w:eastAsia="Times New Roman" w:hAnsi="Arial" w:cs="Arial"/>
            <w:sz w:val="24"/>
            <w:szCs w:val="24"/>
            <w:lang w:eastAsia="pl-PL"/>
          </w:rPr>
          <w:t>fr.</w:t>
        </w:r>
      </w:hyperlink>
      <w:r w:rsidRPr="006A1002">
        <w:rPr>
          <w:rFonts w:ascii="Arial" w:eastAsia="Times New Roman" w:hAnsi="Arial" w:cs="Arial"/>
          <w:sz w:val="24"/>
          <w:szCs w:val="24"/>
          <w:lang w:eastAsia="pl-PL"/>
        </w:rPr>
        <w:t xml:space="preserve"> </w:t>
      </w:r>
      <w:r w:rsidRPr="006A1002">
        <w:rPr>
          <w:rFonts w:ascii="Arial" w:eastAsia="Times New Roman" w:hAnsi="Arial" w:cs="Arial"/>
          <w:i/>
          <w:iCs/>
          <w:sz w:val="24"/>
          <w:szCs w:val="24"/>
          <w:lang w:eastAsia="pl-PL"/>
        </w:rPr>
        <w:t xml:space="preserve">le </w:t>
      </w:r>
      <w:proofErr w:type="spellStart"/>
      <w:r w:rsidRPr="006A1002">
        <w:rPr>
          <w:rFonts w:ascii="Arial" w:eastAsia="Times New Roman" w:hAnsi="Arial" w:cs="Arial"/>
          <w:i/>
          <w:iCs/>
          <w:sz w:val="24"/>
          <w:szCs w:val="24"/>
          <w:lang w:eastAsia="pl-PL"/>
        </w:rPr>
        <w:t>budget</w:t>
      </w:r>
      <w:proofErr w:type="spellEnd"/>
      <w:r w:rsidRPr="006A1002">
        <w:rPr>
          <w:rFonts w:ascii="Arial" w:eastAsia="Times New Roman" w:hAnsi="Arial" w:cs="Arial"/>
          <w:sz w:val="24"/>
          <w:szCs w:val="24"/>
          <w:lang w:eastAsia="pl-PL"/>
        </w:rPr>
        <w:t xml:space="preserve">). Dla historycznego rozwoju instytucji budżetu znaczenie miało kilka zdarzeń, które rozstrzygnęły o jej współczesnym kształcie, wśród których – poza oddzieleniem majątku publicznego od majątku królewskiego – wymienić należy rozwijanie stosunków towarowo-pieniężnych, </w:t>
      </w:r>
      <w:hyperlink r:id="rId50" w:tooltip="System parlamentarny" w:history="1">
        <w:r w:rsidRPr="006A1002">
          <w:rPr>
            <w:rFonts w:ascii="Arial" w:eastAsia="Times New Roman" w:hAnsi="Arial" w:cs="Arial"/>
            <w:sz w:val="24"/>
            <w:szCs w:val="24"/>
            <w:lang w:eastAsia="pl-PL"/>
          </w:rPr>
          <w:t>parlamentaryzmu</w:t>
        </w:r>
      </w:hyperlink>
      <w:r w:rsidRPr="006A1002">
        <w:rPr>
          <w:rFonts w:ascii="Arial" w:eastAsia="Times New Roman" w:hAnsi="Arial" w:cs="Arial"/>
          <w:sz w:val="24"/>
          <w:szCs w:val="24"/>
          <w:lang w:eastAsia="pl-PL"/>
        </w:rPr>
        <w:t xml:space="preserve">, funkcji socjalnych i gospodarczych państwa, rozwój </w:t>
      </w:r>
      <w:hyperlink r:id="rId51" w:tooltip="Międzynarodowe stosunki gospodarcze" w:history="1">
        <w:r w:rsidRPr="006A1002">
          <w:rPr>
            <w:rFonts w:ascii="Arial" w:eastAsia="Times New Roman" w:hAnsi="Arial" w:cs="Arial"/>
            <w:sz w:val="24"/>
            <w:szCs w:val="24"/>
            <w:lang w:eastAsia="pl-PL"/>
          </w:rPr>
          <w:t>międzynarodowych stosunków gospodarczych</w:t>
        </w:r>
      </w:hyperlink>
      <w:r w:rsidRPr="006A1002">
        <w:rPr>
          <w:rFonts w:ascii="Arial" w:eastAsia="Times New Roman" w:hAnsi="Arial" w:cs="Arial"/>
          <w:sz w:val="24"/>
          <w:szCs w:val="24"/>
          <w:lang w:eastAsia="pl-PL"/>
        </w:rPr>
        <w:t xml:space="preserve"> i </w:t>
      </w:r>
      <w:hyperlink r:id="rId52" w:tooltip="Międzynarodowy przepływ kapitału" w:history="1">
        <w:r w:rsidRPr="006A1002">
          <w:rPr>
            <w:rFonts w:ascii="Arial" w:eastAsia="Times New Roman" w:hAnsi="Arial" w:cs="Arial"/>
            <w:sz w:val="24"/>
            <w:szCs w:val="24"/>
            <w:lang w:eastAsia="pl-PL"/>
          </w:rPr>
          <w:t>finansowych</w:t>
        </w:r>
      </w:hyperlink>
      <w:r w:rsidRPr="006A1002">
        <w:rPr>
          <w:rFonts w:ascii="Arial" w:eastAsia="Times New Roman" w:hAnsi="Arial" w:cs="Arial"/>
          <w:sz w:val="24"/>
          <w:szCs w:val="24"/>
          <w:lang w:eastAsia="pl-PL"/>
        </w:rPr>
        <w:t xml:space="preserve"> oraz procesy integracyjne zachodzące we współczesnym świecie. Pierwszy polski budżet został uchwalony przez </w:t>
      </w:r>
      <w:hyperlink r:id="rId53" w:tooltip="Sejm walny I Rzeczypospolitej" w:history="1">
        <w:r w:rsidRPr="006A1002">
          <w:rPr>
            <w:rFonts w:ascii="Arial" w:eastAsia="Times New Roman" w:hAnsi="Arial" w:cs="Arial"/>
            <w:sz w:val="24"/>
            <w:szCs w:val="24"/>
            <w:lang w:eastAsia="pl-PL"/>
          </w:rPr>
          <w:t>Sejm</w:t>
        </w:r>
      </w:hyperlink>
      <w:r w:rsidRPr="006A1002">
        <w:rPr>
          <w:rFonts w:ascii="Arial" w:eastAsia="Times New Roman" w:hAnsi="Arial" w:cs="Arial"/>
          <w:sz w:val="24"/>
          <w:szCs w:val="24"/>
          <w:lang w:eastAsia="pl-PL"/>
        </w:rPr>
        <w:t xml:space="preserve"> w roku 1768 i był jednym z wcześniejszych w Europie. </w:t>
      </w:r>
    </w:p>
    <w:p w:rsidR="00574391" w:rsidRPr="006A1002" w:rsidRDefault="00574391" w:rsidP="006A1002">
      <w:pPr>
        <w:jc w:val="both"/>
        <w:rPr>
          <w:rFonts w:ascii="Arial" w:eastAsia="Times New Roman" w:hAnsi="Arial" w:cs="Arial"/>
          <w:b/>
          <w:bCs/>
          <w:sz w:val="24"/>
          <w:szCs w:val="24"/>
          <w:lang w:eastAsia="pl-PL"/>
        </w:rPr>
      </w:pPr>
      <w:bookmarkStart w:id="0" w:name="_GoBack"/>
      <w:bookmarkEnd w:id="0"/>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lastRenderedPageBreak/>
        <w:t xml:space="preserve">Budżet państwa to zarówno: </w:t>
      </w:r>
    </w:p>
    <w:p w:rsidR="00574391" w:rsidRPr="006A1002" w:rsidRDefault="00574391" w:rsidP="006A1002">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plan dochodów i wydatków oraz przychodów i rozchodów organów </w:t>
      </w:r>
      <w:hyperlink r:id="rId54" w:tooltip="Władza" w:history="1">
        <w:r w:rsidRPr="006A1002">
          <w:rPr>
            <w:rFonts w:ascii="Arial" w:eastAsia="Times New Roman" w:hAnsi="Arial" w:cs="Arial"/>
            <w:sz w:val="24"/>
            <w:szCs w:val="24"/>
            <w:lang w:eastAsia="pl-PL"/>
          </w:rPr>
          <w:t>władzy</w:t>
        </w:r>
      </w:hyperlink>
      <w:r w:rsidRPr="006A1002">
        <w:rPr>
          <w:rFonts w:ascii="Arial" w:eastAsia="Times New Roman" w:hAnsi="Arial" w:cs="Arial"/>
          <w:sz w:val="24"/>
          <w:szCs w:val="24"/>
          <w:lang w:eastAsia="pl-PL"/>
        </w:rPr>
        <w:t xml:space="preserve"> publicznej, w tym organów </w:t>
      </w:r>
      <w:hyperlink r:id="rId55" w:tooltip="Administracja rządowa (strona nie istnieje)" w:history="1">
        <w:r w:rsidRPr="006A1002">
          <w:rPr>
            <w:rFonts w:ascii="Arial" w:eastAsia="Times New Roman" w:hAnsi="Arial" w:cs="Arial"/>
            <w:sz w:val="24"/>
            <w:szCs w:val="24"/>
            <w:lang w:eastAsia="pl-PL"/>
          </w:rPr>
          <w:t>administracji rządowej</w:t>
        </w:r>
      </w:hyperlink>
      <w:r w:rsidRPr="006A1002">
        <w:rPr>
          <w:rFonts w:ascii="Arial" w:eastAsia="Times New Roman" w:hAnsi="Arial" w:cs="Arial"/>
          <w:sz w:val="24"/>
          <w:szCs w:val="24"/>
          <w:lang w:eastAsia="pl-PL"/>
        </w:rPr>
        <w:t xml:space="preserve">, </w:t>
      </w:r>
      <w:hyperlink r:id="rId56" w:tooltip="Organ kontroli państwowej i ochrony prawa (strona nie istnieje)" w:history="1">
        <w:r w:rsidRPr="006A1002">
          <w:rPr>
            <w:rFonts w:ascii="Arial" w:eastAsia="Times New Roman" w:hAnsi="Arial" w:cs="Arial"/>
            <w:sz w:val="24"/>
            <w:szCs w:val="24"/>
            <w:lang w:eastAsia="pl-PL"/>
          </w:rPr>
          <w:t>organów kontroli i ochrony prawa</w:t>
        </w:r>
      </w:hyperlink>
      <w:r w:rsidRPr="006A1002">
        <w:rPr>
          <w:rFonts w:ascii="Arial" w:eastAsia="Times New Roman" w:hAnsi="Arial" w:cs="Arial"/>
          <w:sz w:val="24"/>
          <w:szCs w:val="24"/>
          <w:lang w:eastAsia="pl-PL"/>
        </w:rPr>
        <w:t>, sądów i trybunałów sporządzony na okres roku budżetowego,</w:t>
      </w:r>
    </w:p>
    <w:p w:rsidR="00574391" w:rsidRPr="006A1002" w:rsidRDefault="00574391" w:rsidP="006A1002">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fundusz scentralizowanych środków pieniężnych gromadzonych i rozdzielanych w ciągu roku, w związku z realizacją zadań państwa,</w:t>
      </w:r>
    </w:p>
    <w:p w:rsidR="00574391" w:rsidRPr="006A1002" w:rsidRDefault="00574391" w:rsidP="006A1002">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jak i </w:t>
      </w:r>
      <w:hyperlink r:id="rId57" w:tooltip="Akt normatywny" w:history="1">
        <w:r w:rsidRPr="006A1002">
          <w:rPr>
            <w:rFonts w:ascii="Arial" w:eastAsia="Times New Roman" w:hAnsi="Arial" w:cs="Arial"/>
            <w:sz w:val="24"/>
            <w:szCs w:val="24"/>
            <w:lang w:eastAsia="pl-PL"/>
          </w:rPr>
          <w:t>akt normatywny</w:t>
        </w:r>
      </w:hyperlink>
      <w:r w:rsidRPr="006A1002">
        <w:rPr>
          <w:rFonts w:ascii="Arial" w:eastAsia="Times New Roman" w:hAnsi="Arial" w:cs="Arial"/>
          <w:sz w:val="24"/>
          <w:szCs w:val="24"/>
          <w:lang w:eastAsia="pl-PL"/>
        </w:rPr>
        <w:t xml:space="preserve"> najwyższej rangi, ponieważ jest uchwalany w formie </w:t>
      </w:r>
      <w:hyperlink r:id="rId58" w:tooltip="Ustawa" w:history="1">
        <w:r w:rsidRPr="006A1002">
          <w:rPr>
            <w:rFonts w:ascii="Arial" w:eastAsia="Times New Roman" w:hAnsi="Arial" w:cs="Arial"/>
            <w:sz w:val="24"/>
            <w:szCs w:val="24"/>
            <w:lang w:eastAsia="pl-PL"/>
          </w:rPr>
          <w:t>ustawy</w:t>
        </w:r>
      </w:hyperlink>
      <w:r w:rsidRPr="006A1002">
        <w:rPr>
          <w:rFonts w:ascii="Arial" w:eastAsia="Times New Roman" w:hAnsi="Arial" w:cs="Arial"/>
          <w:sz w:val="24"/>
          <w:szCs w:val="24"/>
          <w:lang w:eastAsia="pl-PL"/>
        </w:rPr>
        <w:t>.</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W związku z tym pojęcie budżetu państwa może być rozumiane w trzech aspektach: </w:t>
      </w:r>
    </w:p>
    <w:p w:rsidR="00574391" w:rsidRPr="006A1002" w:rsidRDefault="00574391" w:rsidP="006A1002">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ekonomicznym – pewien </w:t>
      </w:r>
      <w:hyperlink r:id="rId59" w:tooltip="Fundusz" w:history="1">
        <w:r w:rsidRPr="006A1002">
          <w:rPr>
            <w:rFonts w:ascii="Arial" w:eastAsia="Times New Roman" w:hAnsi="Arial" w:cs="Arial"/>
            <w:sz w:val="24"/>
            <w:szCs w:val="24"/>
            <w:lang w:eastAsia="pl-PL"/>
          </w:rPr>
          <w:t>fundusz</w:t>
        </w:r>
      </w:hyperlink>
      <w:r w:rsidRPr="006A1002">
        <w:rPr>
          <w:rFonts w:ascii="Arial" w:eastAsia="Times New Roman" w:hAnsi="Arial" w:cs="Arial"/>
          <w:sz w:val="24"/>
          <w:szCs w:val="24"/>
          <w:lang w:eastAsia="pl-PL"/>
        </w:rPr>
        <w:t xml:space="preserve"> pieniężny,</w:t>
      </w:r>
    </w:p>
    <w:p w:rsidR="00574391" w:rsidRPr="006A1002" w:rsidRDefault="00574391" w:rsidP="006A1002">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prawnym – pewien </w:t>
      </w:r>
      <w:hyperlink r:id="rId60" w:tooltip="Akt normatywny" w:history="1">
        <w:r w:rsidRPr="006A1002">
          <w:rPr>
            <w:rFonts w:ascii="Arial" w:eastAsia="Times New Roman" w:hAnsi="Arial" w:cs="Arial"/>
            <w:sz w:val="24"/>
            <w:szCs w:val="24"/>
            <w:lang w:eastAsia="pl-PL"/>
          </w:rPr>
          <w:t>akt normatywny</w:t>
        </w:r>
      </w:hyperlink>
      <w:r w:rsidRPr="006A1002">
        <w:rPr>
          <w:rFonts w:ascii="Arial" w:eastAsia="Times New Roman" w:hAnsi="Arial" w:cs="Arial"/>
          <w:sz w:val="24"/>
          <w:szCs w:val="24"/>
          <w:lang w:eastAsia="pl-PL"/>
        </w:rPr>
        <w:t>,</w:t>
      </w:r>
    </w:p>
    <w:p w:rsidR="00574391" w:rsidRPr="006A1002" w:rsidRDefault="00574391" w:rsidP="006A1002">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technicznym (konstrukcja techniczna) – wszelkie czynności związane z gromadzeniem i wydatkowaniem środków budżetowych.</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Budżet państwa stanowi prawną podstawę działalności </w:t>
      </w:r>
      <w:hyperlink r:id="rId61" w:tooltip="Władza wykonawcza" w:history="1">
        <w:r w:rsidRPr="006A1002">
          <w:rPr>
            <w:rFonts w:ascii="Arial" w:eastAsia="Times New Roman" w:hAnsi="Arial" w:cs="Arial"/>
            <w:sz w:val="24"/>
            <w:szCs w:val="24"/>
            <w:lang w:eastAsia="pl-PL"/>
          </w:rPr>
          <w:t>władzy wykonawczej</w:t>
        </w:r>
      </w:hyperlink>
      <w:r w:rsidRPr="006A1002">
        <w:rPr>
          <w:rFonts w:ascii="Arial" w:eastAsia="Times New Roman" w:hAnsi="Arial" w:cs="Arial"/>
          <w:sz w:val="24"/>
          <w:szCs w:val="24"/>
          <w:lang w:eastAsia="pl-PL"/>
        </w:rPr>
        <w:t xml:space="preserve"> (rządu). Jest upoważnieniem dla władzy wykonawczej do dokonywania wydatków i ściągania dochodów. Jest zarazem aktem upoważniającym władzę wykonawczą do gospodarowania publicznymi funduszami. Uchwalenie budżetu, a następnie przyjęcie sprawozdania z jego wykonania, jest aktem politycznego zaufania władzy ustawodawczej dla rządu. Przyjęcie budżetu następuje w wyniku konsensusu między </w:t>
      </w:r>
      <w:hyperlink r:id="rId62" w:tooltip="Władza ustawodawcza" w:history="1">
        <w:r w:rsidRPr="006A1002">
          <w:rPr>
            <w:rFonts w:ascii="Arial" w:eastAsia="Times New Roman" w:hAnsi="Arial" w:cs="Arial"/>
            <w:sz w:val="24"/>
            <w:szCs w:val="24"/>
            <w:lang w:eastAsia="pl-PL"/>
          </w:rPr>
          <w:t>władzą ustawodawczą</w:t>
        </w:r>
      </w:hyperlink>
      <w:r w:rsidRPr="006A1002">
        <w:rPr>
          <w:rFonts w:ascii="Arial" w:eastAsia="Times New Roman" w:hAnsi="Arial" w:cs="Arial"/>
          <w:sz w:val="24"/>
          <w:szCs w:val="24"/>
          <w:lang w:eastAsia="pl-PL"/>
        </w:rPr>
        <w:t xml:space="preserve"> i wykonawczą oraz grupami interesów</w:t>
      </w:r>
    </w:p>
    <w:p w:rsidR="00574391" w:rsidRPr="006A1002" w:rsidRDefault="00574391" w:rsidP="006A1002">
      <w:pPr>
        <w:jc w:val="both"/>
        <w:rPr>
          <w:rFonts w:ascii="Arial" w:eastAsia="Times New Roman" w:hAnsi="Arial" w:cs="Arial"/>
          <w:b/>
          <w:bCs/>
          <w:sz w:val="24"/>
          <w:szCs w:val="24"/>
          <w:lang w:eastAsia="pl-PL"/>
        </w:rPr>
      </w:pP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Funkcje budżetu odzwierciedlają jego istotę i rolę w procesie społeczno-ekonomicznym państwa. Mogą one wpływać pobudzająco na rozwój gospodarczy kraju lub go ograniczać. Są to: </w:t>
      </w:r>
    </w:p>
    <w:p w:rsidR="00574391" w:rsidRPr="006A1002" w:rsidRDefault="00574391" w:rsidP="006A1002">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funkcja redystrybucyjna – budżet państwa, przejmując podatki, cła i inne opłaty od </w:t>
      </w:r>
      <w:hyperlink r:id="rId63" w:tooltip="Przedsiębiorstwo" w:history="1">
        <w:r w:rsidRPr="006A1002">
          <w:rPr>
            <w:rFonts w:ascii="Arial" w:eastAsia="Times New Roman" w:hAnsi="Arial" w:cs="Arial"/>
            <w:sz w:val="24"/>
            <w:szCs w:val="24"/>
            <w:lang w:eastAsia="pl-PL"/>
          </w:rPr>
          <w:t>przedsiębiorstw</w:t>
        </w:r>
      </w:hyperlink>
      <w:r w:rsidRPr="006A1002">
        <w:rPr>
          <w:rFonts w:ascii="Arial" w:eastAsia="Times New Roman" w:hAnsi="Arial" w:cs="Arial"/>
          <w:sz w:val="24"/>
          <w:szCs w:val="24"/>
          <w:lang w:eastAsia="pl-PL"/>
        </w:rPr>
        <w:t xml:space="preserve"> i </w:t>
      </w:r>
      <w:hyperlink r:id="rId64" w:tooltip="Gospodarstwo domowe" w:history="1">
        <w:r w:rsidRPr="006A1002">
          <w:rPr>
            <w:rFonts w:ascii="Arial" w:eastAsia="Times New Roman" w:hAnsi="Arial" w:cs="Arial"/>
            <w:sz w:val="24"/>
            <w:szCs w:val="24"/>
            <w:lang w:eastAsia="pl-PL"/>
          </w:rPr>
          <w:t>gospodarstw domowych</w:t>
        </w:r>
      </w:hyperlink>
      <w:r w:rsidRPr="006A1002">
        <w:rPr>
          <w:rFonts w:ascii="Arial" w:eastAsia="Times New Roman" w:hAnsi="Arial" w:cs="Arial"/>
          <w:sz w:val="24"/>
          <w:szCs w:val="24"/>
          <w:lang w:eastAsia="pl-PL"/>
        </w:rPr>
        <w:t xml:space="preserve"> dokonuje ich rozdziału pomiędzy inne podmioty, zarówno w wyniku transferów nieodpłatnych (</w:t>
      </w:r>
      <w:hyperlink r:id="rId65" w:tooltip="Renta" w:history="1">
        <w:r w:rsidRPr="006A1002">
          <w:rPr>
            <w:rFonts w:ascii="Arial" w:eastAsia="Times New Roman" w:hAnsi="Arial" w:cs="Arial"/>
            <w:sz w:val="24"/>
            <w:szCs w:val="24"/>
            <w:lang w:eastAsia="pl-PL"/>
          </w:rPr>
          <w:t>renty</w:t>
        </w:r>
      </w:hyperlink>
      <w:r w:rsidRPr="006A1002">
        <w:rPr>
          <w:rFonts w:ascii="Arial" w:eastAsia="Times New Roman" w:hAnsi="Arial" w:cs="Arial"/>
          <w:sz w:val="24"/>
          <w:szCs w:val="24"/>
          <w:lang w:eastAsia="pl-PL"/>
        </w:rPr>
        <w:t xml:space="preserve">, </w:t>
      </w:r>
      <w:hyperlink r:id="rId66" w:tooltip="Emerytura" w:history="1">
        <w:r w:rsidRPr="006A1002">
          <w:rPr>
            <w:rFonts w:ascii="Arial" w:eastAsia="Times New Roman" w:hAnsi="Arial" w:cs="Arial"/>
            <w:sz w:val="24"/>
            <w:szCs w:val="24"/>
            <w:lang w:eastAsia="pl-PL"/>
          </w:rPr>
          <w:t>emerytury</w:t>
        </w:r>
      </w:hyperlink>
      <w:r w:rsidRPr="006A1002">
        <w:rPr>
          <w:rFonts w:ascii="Arial" w:eastAsia="Times New Roman" w:hAnsi="Arial" w:cs="Arial"/>
          <w:sz w:val="24"/>
          <w:szCs w:val="24"/>
          <w:lang w:eastAsia="pl-PL"/>
        </w:rPr>
        <w:t xml:space="preserve">, </w:t>
      </w:r>
      <w:hyperlink r:id="rId67" w:tooltip="Pomoc publiczna" w:history="1">
        <w:r w:rsidRPr="006A1002">
          <w:rPr>
            <w:rFonts w:ascii="Arial" w:eastAsia="Times New Roman" w:hAnsi="Arial" w:cs="Arial"/>
            <w:sz w:val="24"/>
            <w:szCs w:val="24"/>
            <w:lang w:eastAsia="pl-PL"/>
          </w:rPr>
          <w:t>pomoc publiczna</w:t>
        </w:r>
      </w:hyperlink>
      <w:r w:rsidRPr="006A1002">
        <w:rPr>
          <w:rFonts w:ascii="Arial" w:eastAsia="Times New Roman" w:hAnsi="Arial" w:cs="Arial"/>
          <w:sz w:val="24"/>
          <w:szCs w:val="24"/>
          <w:lang w:eastAsia="pl-PL"/>
        </w:rPr>
        <w:t xml:space="preserve">, nieoprocentowane kredyty), jak i przez zakup dóbr i usług na </w:t>
      </w:r>
      <w:hyperlink r:id="rId68" w:tooltip="Rynek (ekonomia)" w:history="1">
        <w:r w:rsidRPr="006A1002">
          <w:rPr>
            <w:rFonts w:ascii="Arial" w:eastAsia="Times New Roman" w:hAnsi="Arial" w:cs="Arial"/>
            <w:sz w:val="24"/>
            <w:szCs w:val="24"/>
            <w:lang w:eastAsia="pl-PL"/>
          </w:rPr>
          <w:t>rynku</w:t>
        </w:r>
      </w:hyperlink>
      <w:r w:rsidRPr="006A1002">
        <w:rPr>
          <w:rFonts w:ascii="Arial" w:eastAsia="Times New Roman" w:hAnsi="Arial" w:cs="Arial"/>
          <w:sz w:val="24"/>
          <w:szCs w:val="24"/>
          <w:lang w:eastAsia="pl-PL"/>
        </w:rPr>
        <w:t>;</w:t>
      </w:r>
    </w:p>
    <w:p w:rsidR="00574391" w:rsidRPr="006A1002" w:rsidRDefault="00574391" w:rsidP="006A1002">
      <w:pPr>
        <w:numPr>
          <w:ilvl w:val="0"/>
          <w:numId w:val="6"/>
        </w:numPr>
        <w:spacing w:before="100" w:beforeAutospacing="1" w:after="100" w:afterAutospacing="1" w:line="240" w:lineRule="auto"/>
        <w:jc w:val="both"/>
        <w:rPr>
          <w:rFonts w:ascii="Arial" w:eastAsia="Times New Roman" w:hAnsi="Arial" w:cs="Arial"/>
          <w:sz w:val="24"/>
          <w:szCs w:val="24"/>
          <w:lang w:eastAsia="pl-PL"/>
        </w:rPr>
      </w:pPr>
      <w:hyperlink r:id="rId69" w:tooltip="Funkcja stabilizacyjna finansów publicznych" w:history="1">
        <w:r w:rsidRPr="006A1002">
          <w:rPr>
            <w:rFonts w:ascii="Arial" w:eastAsia="Times New Roman" w:hAnsi="Arial" w:cs="Arial"/>
            <w:sz w:val="24"/>
            <w:szCs w:val="24"/>
            <w:lang w:eastAsia="pl-PL"/>
          </w:rPr>
          <w:t>stabilizacyjna</w:t>
        </w:r>
      </w:hyperlink>
      <w:r w:rsidRPr="006A1002">
        <w:rPr>
          <w:rFonts w:ascii="Arial" w:eastAsia="Times New Roman" w:hAnsi="Arial" w:cs="Arial"/>
          <w:sz w:val="24"/>
          <w:szCs w:val="24"/>
          <w:lang w:eastAsia="pl-PL"/>
        </w:rPr>
        <w:t xml:space="preserve"> – budżet łagodzi wahania </w:t>
      </w:r>
      <w:hyperlink r:id="rId70" w:tooltip="Cykl koniunkturalny" w:history="1">
        <w:r w:rsidRPr="006A1002">
          <w:rPr>
            <w:rFonts w:ascii="Arial" w:eastAsia="Times New Roman" w:hAnsi="Arial" w:cs="Arial"/>
            <w:sz w:val="24"/>
            <w:szCs w:val="24"/>
            <w:lang w:eastAsia="pl-PL"/>
          </w:rPr>
          <w:t>cyklu koniunkturalnego</w:t>
        </w:r>
      </w:hyperlink>
      <w:r w:rsidRPr="006A1002">
        <w:rPr>
          <w:rFonts w:ascii="Arial" w:eastAsia="Times New Roman" w:hAnsi="Arial" w:cs="Arial"/>
          <w:sz w:val="24"/>
          <w:szCs w:val="24"/>
          <w:lang w:eastAsia="pl-PL"/>
        </w:rPr>
        <w:t xml:space="preserve"> i zapewnia zrównoważony </w:t>
      </w:r>
      <w:hyperlink r:id="rId71" w:tooltip="Wzrost gospodarczy" w:history="1">
        <w:r w:rsidRPr="006A1002">
          <w:rPr>
            <w:rFonts w:ascii="Arial" w:eastAsia="Times New Roman" w:hAnsi="Arial" w:cs="Arial"/>
            <w:sz w:val="24"/>
            <w:szCs w:val="24"/>
            <w:lang w:eastAsia="pl-PL"/>
          </w:rPr>
          <w:t>wzrost gospodarki</w:t>
        </w:r>
      </w:hyperlink>
      <w:r w:rsidRPr="006A1002">
        <w:rPr>
          <w:rFonts w:ascii="Arial" w:eastAsia="Times New Roman" w:hAnsi="Arial" w:cs="Arial"/>
          <w:sz w:val="24"/>
          <w:szCs w:val="24"/>
          <w:lang w:eastAsia="pl-PL"/>
        </w:rPr>
        <w:t>;</w:t>
      </w:r>
    </w:p>
    <w:p w:rsidR="00574391" w:rsidRPr="006A1002" w:rsidRDefault="00574391" w:rsidP="006A1002">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fiskalna – budżet przejmuje podatki, cła i inne opłaty;</w:t>
      </w:r>
    </w:p>
    <w:p w:rsidR="00574391" w:rsidRPr="006A1002" w:rsidRDefault="00574391" w:rsidP="006A1002">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bodźcowa/stymulująca – przez redystrybucję dochodu budżet (zwłaszcza zakupy dóbr i usług, ale także dotacje i subwencje) stymuluje działalność </w:t>
      </w:r>
      <w:hyperlink r:id="rId72" w:tooltip="Podmiot gospodarczy" w:history="1">
        <w:r w:rsidRPr="006A1002">
          <w:rPr>
            <w:rFonts w:ascii="Arial" w:eastAsia="Times New Roman" w:hAnsi="Arial" w:cs="Arial"/>
            <w:sz w:val="24"/>
            <w:szCs w:val="24"/>
            <w:lang w:eastAsia="pl-PL"/>
          </w:rPr>
          <w:t>podmiotów gospodarczych</w:t>
        </w:r>
      </w:hyperlink>
      <w:r w:rsidRPr="006A1002">
        <w:rPr>
          <w:rFonts w:ascii="Arial" w:eastAsia="Times New Roman" w:hAnsi="Arial" w:cs="Arial"/>
          <w:sz w:val="24"/>
          <w:szCs w:val="24"/>
          <w:lang w:eastAsia="pl-PL"/>
        </w:rPr>
        <w:t>, podaż, popyt i ceny.</w:t>
      </w:r>
    </w:p>
    <w:p w:rsidR="00574391" w:rsidRPr="006A1002" w:rsidRDefault="00574391" w:rsidP="006A1002">
      <w:pPr>
        <w:pStyle w:val="NormalnyWeb"/>
        <w:jc w:val="both"/>
        <w:rPr>
          <w:rFonts w:ascii="Arial" w:hAnsi="Arial" w:cs="Arial"/>
        </w:rPr>
      </w:pPr>
      <w:r w:rsidRPr="006A1002">
        <w:rPr>
          <w:rFonts w:ascii="Arial" w:hAnsi="Arial" w:cs="Arial"/>
        </w:rPr>
        <w:t xml:space="preserve">worzenie budżetu państwa wymaga spełnienia szczegółowych zasad, które określają pożądane cechy budżetu, dotyczące zakresu treści budżetu oraz jego konstrukcji. Do najważniejszych z nich należą: </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równowagi – postulat, aby kwota planowanych wydatków znalazła pełne pokrycie w przewidywanych dochodach, co sprowadza się do bilansowania budżetu w taki sposób, aby nie generował on </w:t>
      </w:r>
      <w:hyperlink r:id="rId73" w:tooltip="Deficyt budżetowy" w:history="1">
        <w:r w:rsidRPr="006A1002">
          <w:rPr>
            <w:rStyle w:val="Hipercze"/>
            <w:rFonts w:ascii="Arial" w:hAnsi="Arial" w:cs="Arial"/>
            <w:color w:val="auto"/>
            <w:sz w:val="24"/>
            <w:szCs w:val="24"/>
            <w:u w:val="none"/>
          </w:rPr>
          <w:t>deficytu budżetowego</w:t>
        </w:r>
      </w:hyperlink>
      <w:r w:rsidRPr="006A1002">
        <w:rPr>
          <w:rFonts w:ascii="Arial" w:hAnsi="Arial" w:cs="Arial"/>
          <w:sz w:val="24"/>
          <w:szCs w:val="24"/>
        </w:rPr>
        <w:t>;</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lastRenderedPageBreak/>
        <w:t xml:space="preserve">zasada jedności formalnej – zgodnie z którą w jednym czasie w jednym państwie może istnieć tylko jeden budżet, gdyż tylko w takiej sytuacji jest możliwe sprawowanie realnego nadzoru władz ustawodawczych nad władzami wykonawczymi. W Polsce przeczy tej zasadzie istnienie </w:t>
      </w:r>
      <w:proofErr w:type="spellStart"/>
      <w:r w:rsidRPr="006A1002">
        <w:rPr>
          <w:rFonts w:ascii="Arial" w:hAnsi="Arial" w:cs="Arial"/>
          <w:sz w:val="24"/>
          <w:szCs w:val="24"/>
        </w:rPr>
        <w:t>parabudżetów</w:t>
      </w:r>
      <w:proofErr w:type="spellEnd"/>
      <w:r w:rsidRPr="006A1002">
        <w:rPr>
          <w:rFonts w:ascii="Arial" w:hAnsi="Arial" w:cs="Arial"/>
          <w:sz w:val="24"/>
          <w:szCs w:val="24"/>
        </w:rPr>
        <w:t xml:space="preserve">, jakimi są </w:t>
      </w:r>
      <w:hyperlink r:id="rId74" w:tooltip="Fundusz celowy" w:history="1">
        <w:r w:rsidRPr="006A1002">
          <w:rPr>
            <w:rStyle w:val="Hipercze"/>
            <w:rFonts w:ascii="Arial" w:hAnsi="Arial" w:cs="Arial"/>
            <w:color w:val="auto"/>
            <w:sz w:val="24"/>
            <w:szCs w:val="24"/>
            <w:u w:val="none"/>
          </w:rPr>
          <w:t>fundusze celowe</w:t>
        </w:r>
      </w:hyperlink>
      <w:r w:rsidRPr="006A1002">
        <w:rPr>
          <w:rFonts w:ascii="Arial" w:hAnsi="Arial" w:cs="Arial"/>
          <w:sz w:val="24"/>
          <w:szCs w:val="24"/>
        </w:rPr>
        <w:t>;</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jedności materialnej – postuluje, aby wszystkie dochody wpływały do jednego budżetu i z niego były finansowane wszystkie wydatki. Wyklucza to możliwość związania określonego wydatku z konkretnym źródłem dochodu, jak to było np. w przypadku tzw. </w:t>
      </w:r>
      <w:hyperlink r:id="rId75" w:tooltip="Podatek od środków transportowych" w:history="1">
        <w:r w:rsidRPr="006A1002">
          <w:rPr>
            <w:rStyle w:val="Hipercze"/>
            <w:rFonts w:ascii="Arial" w:hAnsi="Arial" w:cs="Arial"/>
            <w:color w:val="auto"/>
            <w:sz w:val="24"/>
            <w:szCs w:val="24"/>
            <w:u w:val="none"/>
          </w:rPr>
          <w:t>podatku drogowego</w:t>
        </w:r>
      </w:hyperlink>
      <w:r w:rsidRPr="006A1002">
        <w:rPr>
          <w:rFonts w:ascii="Arial" w:hAnsi="Arial" w:cs="Arial"/>
          <w:sz w:val="24"/>
          <w:szCs w:val="24"/>
        </w:rPr>
        <w:t>;</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powszechności – wszystkie podmioty gospodarki publicznej powinny być powiązane z budżetem albo </w:t>
      </w:r>
      <w:hyperlink r:id="rId76" w:tooltip="Budżetowanie brutto" w:history="1">
        <w:r w:rsidRPr="006A1002">
          <w:rPr>
            <w:rStyle w:val="Hipercze"/>
            <w:rFonts w:ascii="Arial" w:hAnsi="Arial" w:cs="Arial"/>
            <w:color w:val="auto"/>
            <w:sz w:val="24"/>
            <w:szCs w:val="24"/>
            <w:u w:val="none"/>
          </w:rPr>
          <w:t>metodą finansowania brutto</w:t>
        </w:r>
      </w:hyperlink>
      <w:r w:rsidRPr="006A1002">
        <w:rPr>
          <w:rFonts w:ascii="Arial" w:hAnsi="Arial" w:cs="Arial"/>
          <w:sz w:val="24"/>
          <w:szCs w:val="24"/>
        </w:rPr>
        <w:t xml:space="preserve"> (bezpośrednio) albo </w:t>
      </w:r>
      <w:hyperlink r:id="rId77" w:tooltip="Budżetowanie netto" w:history="1">
        <w:r w:rsidRPr="006A1002">
          <w:rPr>
            <w:rStyle w:val="Hipercze"/>
            <w:rFonts w:ascii="Arial" w:hAnsi="Arial" w:cs="Arial"/>
            <w:color w:val="auto"/>
            <w:sz w:val="24"/>
            <w:szCs w:val="24"/>
            <w:u w:val="none"/>
          </w:rPr>
          <w:t>netto</w:t>
        </w:r>
      </w:hyperlink>
      <w:r w:rsidRPr="006A1002">
        <w:rPr>
          <w:rFonts w:ascii="Arial" w:hAnsi="Arial" w:cs="Arial"/>
          <w:sz w:val="24"/>
          <w:szCs w:val="24"/>
        </w:rPr>
        <w:t xml:space="preserve"> (pośrednio);</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zupełności (ustrojowo-konstytucyjna) – określa udział </w:t>
      </w:r>
      <w:hyperlink r:id="rId78" w:tooltip="Państwo" w:history="1">
        <w:r w:rsidRPr="006A1002">
          <w:rPr>
            <w:rStyle w:val="Hipercze"/>
            <w:rFonts w:ascii="Arial" w:hAnsi="Arial" w:cs="Arial"/>
            <w:color w:val="auto"/>
            <w:sz w:val="24"/>
            <w:szCs w:val="24"/>
            <w:u w:val="none"/>
          </w:rPr>
          <w:t>państwa</w:t>
        </w:r>
      </w:hyperlink>
      <w:r w:rsidRPr="006A1002">
        <w:rPr>
          <w:rFonts w:ascii="Arial" w:hAnsi="Arial" w:cs="Arial"/>
          <w:sz w:val="24"/>
          <w:szCs w:val="24"/>
        </w:rPr>
        <w:t xml:space="preserve"> w </w:t>
      </w:r>
      <w:hyperlink r:id="rId79" w:tooltip="Gospodarka" w:history="1">
        <w:r w:rsidRPr="006A1002">
          <w:rPr>
            <w:rStyle w:val="Hipercze"/>
            <w:rFonts w:ascii="Arial" w:hAnsi="Arial" w:cs="Arial"/>
            <w:color w:val="auto"/>
            <w:sz w:val="24"/>
            <w:szCs w:val="24"/>
            <w:u w:val="none"/>
          </w:rPr>
          <w:t>gospodarce</w:t>
        </w:r>
      </w:hyperlink>
      <w:r w:rsidRPr="006A1002">
        <w:rPr>
          <w:rFonts w:ascii="Arial" w:hAnsi="Arial" w:cs="Arial"/>
          <w:sz w:val="24"/>
          <w:szCs w:val="24"/>
        </w:rPr>
        <w:t xml:space="preserve"> (teoretycznie rozwiązanie tego problemu nie istnieje). Istnieją tutaj dwa podejścia: </w:t>
      </w:r>
    </w:p>
    <w:p w:rsidR="00574391" w:rsidRPr="006A1002" w:rsidRDefault="00574391" w:rsidP="006A1002">
      <w:pPr>
        <w:numPr>
          <w:ilvl w:val="1"/>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podejście klasyczne – zakłada, że zasada zupełności zachowana jest wówczas, gdy wszelka działalność gospodarcza państwa znajduje swoje odzwierciedlenie w budżecie. Takie ujęcie problemu dopuszcza jedynie finansowanie bezpośrednie, a więc budżetowanie brutto. Wszystkie dochody i wydatki jednostek budżetowych są ujmowane wówczas w planie budżetowym jako dochody i wydatki budżetu,</w:t>
      </w:r>
    </w:p>
    <w:p w:rsidR="00574391" w:rsidRPr="006A1002" w:rsidRDefault="00574391" w:rsidP="006A1002">
      <w:pPr>
        <w:numPr>
          <w:ilvl w:val="1"/>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podejście modernistyczne – uznaje zasadę zupełności budżetowej za spełnioną, jeśli </w:t>
      </w:r>
      <w:hyperlink r:id="rId80" w:tooltip="Sektor finansów publicznych" w:history="1">
        <w:r w:rsidRPr="006A1002">
          <w:rPr>
            <w:rStyle w:val="Hipercze"/>
            <w:rFonts w:ascii="Arial" w:hAnsi="Arial" w:cs="Arial"/>
            <w:color w:val="auto"/>
            <w:sz w:val="24"/>
            <w:szCs w:val="24"/>
            <w:u w:val="none"/>
          </w:rPr>
          <w:t>jednostki sektora publicznego</w:t>
        </w:r>
      </w:hyperlink>
      <w:r w:rsidRPr="006A1002">
        <w:rPr>
          <w:rFonts w:ascii="Arial" w:hAnsi="Arial" w:cs="Arial"/>
          <w:sz w:val="24"/>
          <w:szCs w:val="24"/>
        </w:rPr>
        <w:t xml:space="preserve"> mają jakiekolwiek powiązanie z budżetem państwa. Jest to tzw. finansowanie budżetowe pośrednie lub budżetowanie netto. </w:t>
      </w:r>
      <w:hyperlink r:id="rId81" w:tooltip="Jednostka budżetowa" w:history="1">
        <w:r w:rsidRPr="006A1002">
          <w:rPr>
            <w:rStyle w:val="Hipercze"/>
            <w:rFonts w:ascii="Arial" w:hAnsi="Arial" w:cs="Arial"/>
            <w:color w:val="auto"/>
            <w:sz w:val="24"/>
            <w:szCs w:val="24"/>
            <w:u w:val="none"/>
          </w:rPr>
          <w:t>Jednostki budżetowe</w:t>
        </w:r>
      </w:hyperlink>
      <w:r w:rsidRPr="006A1002">
        <w:rPr>
          <w:rFonts w:ascii="Arial" w:hAnsi="Arial" w:cs="Arial"/>
          <w:sz w:val="24"/>
          <w:szCs w:val="24"/>
        </w:rPr>
        <w:t xml:space="preserve"> rozliczają się wówczas z budżetem według </w:t>
      </w:r>
      <w:hyperlink r:id="rId82" w:tooltip="Saldo debetowe (strona nie istnieje)" w:history="1">
        <w:r w:rsidRPr="006A1002">
          <w:rPr>
            <w:rStyle w:val="Hipercze"/>
            <w:rFonts w:ascii="Arial" w:hAnsi="Arial" w:cs="Arial"/>
            <w:color w:val="auto"/>
            <w:sz w:val="24"/>
            <w:szCs w:val="24"/>
            <w:u w:val="none"/>
          </w:rPr>
          <w:t>salda debetowego</w:t>
        </w:r>
      </w:hyperlink>
      <w:r w:rsidRPr="006A1002">
        <w:rPr>
          <w:rFonts w:ascii="Arial" w:hAnsi="Arial" w:cs="Arial"/>
          <w:sz w:val="24"/>
          <w:szCs w:val="24"/>
        </w:rPr>
        <w:t xml:space="preserve"> lub </w:t>
      </w:r>
      <w:hyperlink r:id="rId83" w:tooltip="Saldo kredytowe (strona nie istnieje)" w:history="1">
        <w:r w:rsidRPr="006A1002">
          <w:rPr>
            <w:rStyle w:val="Hipercze"/>
            <w:rFonts w:ascii="Arial" w:hAnsi="Arial" w:cs="Arial"/>
            <w:color w:val="auto"/>
            <w:sz w:val="24"/>
            <w:szCs w:val="24"/>
            <w:u w:val="none"/>
          </w:rPr>
          <w:t>kredytowego</w:t>
        </w:r>
      </w:hyperlink>
      <w:r w:rsidRPr="006A1002">
        <w:rPr>
          <w:rFonts w:ascii="Arial" w:hAnsi="Arial" w:cs="Arial"/>
          <w:sz w:val="24"/>
          <w:szCs w:val="24"/>
        </w:rPr>
        <w:t xml:space="preserve">, dotyczącego </w:t>
      </w:r>
      <w:hyperlink r:id="rId84" w:tooltip="Zakład budżetowy" w:history="1">
        <w:r w:rsidRPr="006A1002">
          <w:rPr>
            <w:rStyle w:val="Hipercze"/>
            <w:rFonts w:ascii="Arial" w:hAnsi="Arial" w:cs="Arial"/>
            <w:color w:val="auto"/>
            <w:sz w:val="24"/>
            <w:szCs w:val="24"/>
            <w:u w:val="none"/>
          </w:rPr>
          <w:t>zakładów budżetowych</w:t>
        </w:r>
      </w:hyperlink>
      <w:r w:rsidRPr="006A1002">
        <w:rPr>
          <w:rFonts w:ascii="Arial" w:hAnsi="Arial" w:cs="Arial"/>
          <w:sz w:val="24"/>
          <w:szCs w:val="24"/>
        </w:rPr>
        <w:t xml:space="preserve">, </w:t>
      </w:r>
      <w:hyperlink r:id="rId85" w:tooltip="Gospodarstwo pomocnicze" w:history="1">
        <w:r w:rsidRPr="006A1002">
          <w:rPr>
            <w:rStyle w:val="Hipercze"/>
            <w:rFonts w:ascii="Arial" w:hAnsi="Arial" w:cs="Arial"/>
            <w:color w:val="auto"/>
            <w:sz w:val="24"/>
            <w:szCs w:val="24"/>
            <w:u w:val="none"/>
          </w:rPr>
          <w:t>gospodarstw pomocniczych</w:t>
        </w:r>
      </w:hyperlink>
      <w:r w:rsidRPr="006A1002">
        <w:rPr>
          <w:rFonts w:ascii="Arial" w:hAnsi="Arial" w:cs="Arial"/>
          <w:sz w:val="24"/>
          <w:szCs w:val="24"/>
        </w:rPr>
        <w:t xml:space="preserve"> i środków zgromadzonych na wydzielonym rachunku dochodów własnych;</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dualizmu budżetowego – postuluje opracowywanie, poza </w:t>
      </w:r>
      <w:hyperlink r:id="rId86" w:tooltip="Budżet operacyjny (strona nie istnieje)" w:history="1">
        <w:r w:rsidRPr="006A1002">
          <w:rPr>
            <w:rStyle w:val="Hipercze"/>
            <w:rFonts w:ascii="Arial" w:hAnsi="Arial" w:cs="Arial"/>
            <w:color w:val="auto"/>
            <w:sz w:val="24"/>
            <w:szCs w:val="24"/>
            <w:u w:val="none"/>
          </w:rPr>
          <w:t>budżetem operacyjnym</w:t>
        </w:r>
      </w:hyperlink>
      <w:r w:rsidRPr="006A1002">
        <w:rPr>
          <w:rFonts w:ascii="Arial" w:hAnsi="Arial" w:cs="Arial"/>
          <w:sz w:val="24"/>
          <w:szCs w:val="24"/>
        </w:rPr>
        <w:t xml:space="preserve"> (obowiązującym w cyklach rocznych), </w:t>
      </w:r>
      <w:hyperlink r:id="rId87" w:tooltip="Budżet majątkowy (strona nie istnieje)" w:history="1">
        <w:r w:rsidRPr="006A1002">
          <w:rPr>
            <w:rStyle w:val="Hipercze"/>
            <w:rFonts w:ascii="Arial" w:hAnsi="Arial" w:cs="Arial"/>
            <w:color w:val="auto"/>
            <w:sz w:val="24"/>
            <w:szCs w:val="24"/>
            <w:u w:val="none"/>
          </w:rPr>
          <w:t>budżetu majątkowego</w:t>
        </w:r>
      </w:hyperlink>
      <w:r w:rsidRPr="006A1002">
        <w:rPr>
          <w:rFonts w:ascii="Arial" w:hAnsi="Arial" w:cs="Arial"/>
          <w:sz w:val="24"/>
          <w:szCs w:val="24"/>
        </w:rPr>
        <w:t xml:space="preserve"> w cyklach dwu- lub trzyletnich. Zasada w Polsce nie jest realizowana;</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szczegółowości – wydatki i dochody budżetu powinny być ujęte ze stosowną szczegółowością, związaną z określeniem zakresu swobody władzy wykonawczej. Celem realizacji tej zasady jest ograniczenie możliwości nadinterpretacji i nadużyć w trakcie wykonywania budżetu. Zasada ma związek z </w:t>
      </w:r>
      <w:hyperlink r:id="rId88" w:tooltip="Klasyfikacja budżetowa" w:history="1">
        <w:r w:rsidRPr="006A1002">
          <w:rPr>
            <w:rStyle w:val="Hipercze"/>
            <w:rFonts w:ascii="Arial" w:hAnsi="Arial" w:cs="Arial"/>
            <w:color w:val="auto"/>
            <w:sz w:val="24"/>
            <w:szCs w:val="24"/>
            <w:u w:val="none"/>
          </w:rPr>
          <w:t>klasyfikacją budżetową</w:t>
        </w:r>
      </w:hyperlink>
      <w:r w:rsidRPr="006A1002">
        <w:rPr>
          <w:rFonts w:ascii="Arial" w:hAnsi="Arial" w:cs="Arial"/>
          <w:sz w:val="24"/>
          <w:szCs w:val="24"/>
        </w:rPr>
        <w:t>;</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zasada operatywności – budżet wymaga opracowania w układzie podmiotowym, co oznacza wskazanie zadań zarówno w zakresie gromadzenia dochodów, jak i realizacji wydatków dla konkretnych podmiotów;</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zasada przejrzystości – budżet powinien być przedstawiony parlamentowi i społeczeństwu w możliwie przejrzystym układzie, spopularyzowany w środkach masowego przekazu, ułatwiając przez to ocenę jego wykonania;</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zasada jawności – postuluje jawność procesu przygotowywania, uchwalania, realizacji i kontroli budżetu. Zarówno ustawa budżetowa, jak i sprawozdanie z jej realizacji mają być ogłaszane w sposób ogólnodostępny (</w:t>
      </w:r>
      <w:hyperlink r:id="rId89" w:tooltip="Dziennik Ustaw" w:history="1">
        <w:r w:rsidRPr="006A1002">
          <w:rPr>
            <w:rStyle w:val="Hipercze"/>
            <w:rFonts w:ascii="Arial" w:hAnsi="Arial" w:cs="Arial"/>
            <w:color w:val="auto"/>
            <w:sz w:val="24"/>
            <w:szCs w:val="24"/>
            <w:u w:val="none"/>
          </w:rPr>
          <w:t>Dziennik Ustaw</w:t>
        </w:r>
      </w:hyperlink>
      <w:r w:rsidRPr="006A1002">
        <w:rPr>
          <w:rFonts w:ascii="Arial" w:hAnsi="Arial" w:cs="Arial"/>
          <w:sz w:val="24"/>
          <w:szCs w:val="24"/>
        </w:rPr>
        <w:t>);</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zasada gospodarności (racjonalności) – wymaga racjonalnego, czyli oszczędnego, wydatkowania środków budżetowych;</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zasada realności – postuluje maksymalną precyzję w planowaniu dochodów i wydatków (część doktryny tej zasady nie uznaje);</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lastRenderedPageBreak/>
        <w:t>zasada jednoroczności (rygoru budżetowego) – zasada, przyjmująca coroczność, periodyczność budżetu;</w:t>
      </w:r>
    </w:p>
    <w:p w:rsidR="00574391" w:rsidRPr="006A1002" w:rsidRDefault="00574391" w:rsidP="006A1002">
      <w:pPr>
        <w:numPr>
          <w:ilvl w:val="0"/>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 xml:space="preserve">zasada uprzedniości – zasada uchwalenia budżetu przed terminem jego obowiązywania, a więc przed rozpoczęciem nowego roku budżetowego. Od zasady tej istnieją pewne odstępstwa: </w:t>
      </w:r>
    </w:p>
    <w:p w:rsidR="00574391" w:rsidRPr="006A1002" w:rsidRDefault="00574391" w:rsidP="006A1002">
      <w:pPr>
        <w:numPr>
          <w:ilvl w:val="1"/>
          <w:numId w:val="7"/>
        </w:numPr>
        <w:spacing w:before="100" w:beforeAutospacing="1" w:after="100" w:afterAutospacing="1" w:line="240" w:lineRule="auto"/>
        <w:jc w:val="both"/>
        <w:rPr>
          <w:rFonts w:ascii="Arial" w:hAnsi="Arial" w:cs="Arial"/>
          <w:sz w:val="24"/>
          <w:szCs w:val="24"/>
        </w:rPr>
      </w:pPr>
      <w:hyperlink r:id="rId90" w:tooltip="Prerogacja budżetu (strona nie istnieje)" w:history="1">
        <w:proofErr w:type="spellStart"/>
        <w:r w:rsidRPr="006A1002">
          <w:rPr>
            <w:rStyle w:val="Hipercze"/>
            <w:rFonts w:ascii="Arial" w:hAnsi="Arial" w:cs="Arial"/>
            <w:color w:val="auto"/>
            <w:sz w:val="24"/>
            <w:szCs w:val="24"/>
            <w:u w:val="none"/>
          </w:rPr>
          <w:t>prerogacja</w:t>
        </w:r>
        <w:proofErr w:type="spellEnd"/>
        <w:r w:rsidRPr="006A1002">
          <w:rPr>
            <w:rStyle w:val="Hipercze"/>
            <w:rFonts w:ascii="Arial" w:hAnsi="Arial" w:cs="Arial"/>
            <w:color w:val="auto"/>
            <w:sz w:val="24"/>
            <w:szCs w:val="24"/>
            <w:u w:val="none"/>
          </w:rPr>
          <w:t xml:space="preserve"> budżetu</w:t>
        </w:r>
      </w:hyperlink>
      <w:r w:rsidRPr="006A1002">
        <w:rPr>
          <w:rFonts w:ascii="Arial" w:hAnsi="Arial" w:cs="Arial"/>
          <w:sz w:val="24"/>
          <w:szCs w:val="24"/>
        </w:rPr>
        <w:t xml:space="preserve"> – przedłużenie ważności budżetu ubiegłorocznego na pewien okres roku następnego,</w:t>
      </w:r>
    </w:p>
    <w:p w:rsidR="00574391" w:rsidRPr="006A1002" w:rsidRDefault="00574391" w:rsidP="006A1002">
      <w:pPr>
        <w:numPr>
          <w:ilvl w:val="1"/>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prowizorium budżetowe – skrócona wersja ustawy budżetowej,</w:t>
      </w:r>
    </w:p>
    <w:p w:rsidR="00574391" w:rsidRPr="006A1002" w:rsidRDefault="00574391" w:rsidP="006A1002">
      <w:pPr>
        <w:numPr>
          <w:ilvl w:val="1"/>
          <w:numId w:val="7"/>
        </w:numPr>
        <w:spacing w:before="100" w:beforeAutospacing="1" w:after="100" w:afterAutospacing="1" w:line="240" w:lineRule="auto"/>
        <w:jc w:val="both"/>
        <w:rPr>
          <w:rFonts w:ascii="Arial" w:hAnsi="Arial" w:cs="Arial"/>
          <w:sz w:val="24"/>
          <w:szCs w:val="24"/>
        </w:rPr>
      </w:pPr>
      <w:r w:rsidRPr="006A1002">
        <w:rPr>
          <w:rFonts w:ascii="Arial" w:hAnsi="Arial" w:cs="Arial"/>
          <w:sz w:val="24"/>
          <w:szCs w:val="24"/>
        </w:rPr>
        <w:t>funkcjonowanie gospodarki budżetowej w oparciu o projekt budżetu. Polskie prawo dopuszcza jedynie prowizorium jako odstępstwo od zasady uprzedniości.</w:t>
      </w:r>
    </w:p>
    <w:p w:rsidR="00574391" w:rsidRPr="006A1002" w:rsidRDefault="00574391" w:rsidP="006A1002">
      <w:pPr>
        <w:jc w:val="both"/>
        <w:rPr>
          <w:rFonts w:ascii="Arial" w:hAnsi="Arial" w:cs="Arial"/>
          <w:sz w:val="24"/>
          <w:szCs w:val="24"/>
        </w:rPr>
      </w:pPr>
      <w:r w:rsidRPr="006A1002">
        <w:rPr>
          <w:rFonts w:ascii="Arial" w:hAnsi="Arial" w:cs="Arial"/>
          <w:sz w:val="24"/>
          <w:szCs w:val="24"/>
        </w:rPr>
        <w:t>Ustawa budżetowa jest pojęciem szerszym. Budżet jest jednym, ale nie jedynym załącznikiem do ustawy. Załącznikami są np. zestawienie przychodów i wydatków zakładów budżetowych, gospodarstw pomocniczych jednostek budżetowych, plany przychodów i wydatków państwowych funduszy celowych. Ustawa budżetowa zawiera więc budżet i inne plany finansowe. Budżet jest podstawowym planem, za pośrednictwem którego dokonuje się znaczącej kwoty wydatków.</w:t>
      </w:r>
    </w:p>
    <w:p w:rsidR="00574391" w:rsidRPr="006A1002" w:rsidRDefault="00574391" w:rsidP="006A1002">
      <w:pPr>
        <w:jc w:val="both"/>
        <w:rPr>
          <w:rFonts w:ascii="Arial" w:hAnsi="Arial" w:cs="Arial"/>
          <w:sz w:val="24"/>
          <w:szCs w:val="24"/>
        </w:rPr>
      </w:pPr>
    </w:p>
    <w:p w:rsidR="00574391" w:rsidRPr="006A1002" w:rsidRDefault="00574391" w:rsidP="006A1002">
      <w:pPr>
        <w:spacing w:before="100" w:beforeAutospacing="1" w:after="100" w:afterAutospacing="1" w:line="240" w:lineRule="auto"/>
        <w:jc w:val="both"/>
        <w:outlineLvl w:val="2"/>
        <w:rPr>
          <w:rFonts w:ascii="Arial" w:eastAsia="Times New Roman" w:hAnsi="Arial" w:cs="Arial"/>
          <w:b/>
          <w:bCs/>
          <w:sz w:val="24"/>
          <w:szCs w:val="24"/>
          <w:lang w:eastAsia="pl-PL"/>
        </w:rPr>
      </w:pPr>
      <w:r w:rsidRPr="006A1002">
        <w:rPr>
          <w:rFonts w:ascii="Arial" w:eastAsia="Times New Roman" w:hAnsi="Arial" w:cs="Arial"/>
          <w:b/>
          <w:bCs/>
          <w:sz w:val="24"/>
          <w:szCs w:val="24"/>
          <w:lang w:eastAsia="pl-PL"/>
        </w:rPr>
        <w:t>Dochody budżetowe</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Klasyfikacja: </w:t>
      </w:r>
    </w:p>
    <w:p w:rsidR="00574391" w:rsidRPr="006A1002" w:rsidRDefault="00574391" w:rsidP="006A1002">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bezzwrotne: </w:t>
      </w:r>
      <w:hyperlink r:id="rId91" w:tooltip="Podatek" w:history="1">
        <w:r w:rsidRPr="006A1002">
          <w:rPr>
            <w:rFonts w:ascii="Arial" w:eastAsia="Times New Roman" w:hAnsi="Arial" w:cs="Arial"/>
            <w:sz w:val="24"/>
            <w:szCs w:val="24"/>
            <w:lang w:eastAsia="pl-PL"/>
          </w:rPr>
          <w:t>podatki</w:t>
        </w:r>
      </w:hyperlink>
      <w:r w:rsidRPr="006A1002">
        <w:rPr>
          <w:rFonts w:ascii="Arial" w:eastAsia="Times New Roman" w:hAnsi="Arial" w:cs="Arial"/>
          <w:sz w:val="24"/>
          <w:szCs w:val="24"/>
          <w:lang w:eastAsia="pl-PL"/>
        </w:rPr>
        <w:t xml:space="preserve">, </w:t>
      </w:r>
      <w:hyperlink r:id="rId92" w:tooltip="Cło" w:history="1">
        <w:r w:rsidRPr="006A1002">
          <w:rPr>
            <w:rFonts w:ascii="Arial" w:eastAsia="Times New Roman" w:hAnsi="Arial" w:cs="Arial"/>
            <w:sz w:val="24"/>
            <w:szCs w:val="24"/>
            <w:lang w:eastAsia="pl-PL"/>
          </w:rPr>
          <w:t>cła</w:t>
        </w:r>
      </w:hyperlink>
      <w:r w:rsidRPr="006A1002">
        <w:rPr>
          <w:rFonts w:ascii="Arial" w:eastAsia="Times New Roman" w:hAnsi="Arial" w:cs="Arial"/>
          <w:sz w:val="24"/>
          <w:szCs w:val="24"/>
          <w:lang w:eastAsia="pl-PL"/>
        </w:rPr>
        <w:t xml:space="preserve"> i </w:t>
      </w:r>
      <w:hyperlink r:id="rId93" w:tooltip="Czynsz" w:history="1">
        <w:r w:rsidRPr="006A1002">
          <w:rPr>
            <w:rFonts w:ascii="Arial" w:eastAsia="Times New Roman" w:hAnsi="Arial" w:cs="Arial"/>
            <w:sz w:val="24"/>
            <w:szCs w:val="24"/>
            <w:lang w:eastAsia="pl-PL"/>
          </w:rPr>
          <w:t>czynsze</w:t>
        </w:r>
      </w:hyperlink>
      <w:r w:rsidRPr="006A1002">
        <w:rPr>
          <w:rFonts w:ascii="Arial" w:eastAsia="Times New Roman" w:hAnsi="Arial" w:cs="Arial"/>
          <w:sz w:val="24"/>
          <w:szCs w:val="24"/>
          <w:lang w:eastAsia="pl-PL"/>
        </w:rPr>
        <w:t>;</w:t>
      </w:r>
    </w:p>
    <w:p w:rsidR="00574391" w:rsidRPr="006A1002" w:rsidRDefault="00574391" w:rsidP="006A1002">
      <w:pPr>
        <w:numPr>
          <w:ilvl w:val="0"/>
          <w:numId w:val="8"/>
        </w:num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zwrotne: </w:t>
      </w:r>
      <w:hyperlink r:id="rId94" w:tooltip="Kredyt bankowy" w:history="1">
        <w:r w:rsidRPr="006A1002">
          <w:rPr>
            <w:rFonts w:ascii="Arial" w:eastAsia="Times New Roman" w:hAnsi="Arial" w:cs="Arial"/>
            <w:sz w:val="24"/>
            <w:szCs w:val="24"/>
            <w:lang w:eastAsia="pl-PL"/>
          </w:rPr>
          <w:t>kredyty</w:t>
        </w:r>
      </w:hyperlink>
      <w:r w:rsidRPr="006A1002">
        <w:rPr>
          <w:rFonts w:ascii="Arial" w:eastAsia="Times New Roman" w:hAnsi="Arial" w:cs="Arial"/>
          <w:sz w:val="24"/>
          <w:szCs w:val="24"/>
          <w:lang w:eastAsia="pl-PL"/>
        </w:rPr>
        <w:t xml:space="preserve">, </w:t>
      </w:r>
      <w:hyperlink r:id="rId95" w:tooltip="Pożyczka" w:history="1">
        <w:r w:rsidRPr="006A1002">
          <w:rPr>
            <w:rFonts w:ascii="Arial" w:eastAsia="Times New Roman" w:hAnsi="Arial" w:cs="Arial"/>
            <w:sz w:val="24"/>
            <w:szCs w:val="24"/>
            <w:lang w:eastAsia="pl-PL"/>
          </w:rPr>
          <w:t>pożyczki</w:t>
        </w:r>
      </w:hyperlink>
      <w:r w:rsidRPr="006A1002">
        <w:rPr>
          <w:rFonts w:ascii="Arial" w:eastAsia="Times New Roman" w:hAnsi="Arial" w:cs="Arial"/>
          <w:sz w:val="24"/>
          <w:szCs w:val="24"/>
          <w:lang w:eastAsia="pl-PL"/>
        </w:rPr>
        <w:t xml:space="preserve">, </w:t>
      </w:r>
      <w:hyperlink r:id="rId96" w:tooltip="Weksel" w:history="1">
        <w:r w:rsidRPr="006A1002">
          <w:rPr>
            <w:rFonts w:ascii="Arial" w:eastAsia="Times New Roman" w:hAnsi="Arial" w:cs="Arial"/>
            <w:sz w:val="24"/>
            <w:szCs w:val="24"/>
            <w:lang w:eastAsia="pl-PL"/>
          </w:rPr>
          <w:t>weksle</w:t>
        </w:r>
      </w:hyperlink>
      <w:r w:rsidRPr="006A1002">
        <w:rPr>
          <w:rFonts w:ascii="Arial" w:eastAsia="Times New Roman" w:hAnsi="Arial" w:cs="Arial"/>
          <w:sz w:val="24"/>
          <w:szCs w:val="24"/>
          <w:lang w:eastAsia="pl-PL"/>
        </w:rPr>
        <w:t xml:space="preserve"> i </w:t>
      </w:r>
      <w:hyperlink r:id="rId97" w:tooltip="Obligacja" w:history="1">
        <w:r w:rsidRPr="006A1002">
          <w:rPr>
            <w:rFonts w:ascii="Arial" w:eastAsia="Times New Roman" w:hAnsi="Arial" w:cs="Arial"/>
            <w:sz w:val="24"/>
            <w:szCs w:val="24"/>
            <w:lang w:eastAsia="pl-PL"/>
          </w:rPr>
          <w:t>obligacje</w:t>
        </w:r>
      </w:hyperlink>
      <w:r w:rsidRPr="006A1002">
        <w:rPr>
          <w:rFonts w:ascii="Arial" w:eastAsia="Times New Roman" w:hAnsi="Arial" w:cs="Arial"/>
          <w:sz w:val="24"/>
          <w:szCs w:val="24"/>
          <w:lang w:eastAsia="pl-PL"/>
        </w:rPr>
        <w:t>.</w:t>
      </w:r>
    </w:p>
    <w:p w:rsidR="00574391" w:rsidRPr="006A1002" w:rsidRDefault="00574391" w:rsidP="006A1002">
      <w:pPr>
        <w:jc w:val="both"/>
        <w:rPr>
          <w:rFonts w:ascii="Arial" w:eastAsia="Times New Roman" w:hAnsi="Arial" w:cs="Arial"/>
          <w:b/>
          <w:bCs/>
          <w:sz w:val="24"/>
          <w:szCs w:val="24"/>
          <w:lang w:eastAsia="pl-PL"/>
        </w:rPr>
      </w:pP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b/>
          <w:bCs/>
          <w:sz w:val="24"/>
          <w:szCs w:val="24"/>
          <w:lang w:eastAsia="pl-PL"/>
        </w:rPr>
        <w:t>Polityka finansowa</w:t>
      </w:r>
      <w:r w:rsidRPr="006A1002">
        <w:rPr>
          <w:rFonts w:ascii="Arial" w:eastAsia="Times New Roman" w:hAnsi="Arial" w:cs="Arial"/>
          <w:sz w:val="24"/>
          <w:szCs w:val="24"/>
          <w:lang w:eastAsia="pl-PL"/>
        </w:rPr>
        <w:t xml:space="preserve"> – określanie celów, które mają zostać osiągnięte w ramach realizacji </w:t>
      </w:r>
      <w:hyperlink r:id="rId98" w:tooltip="Gospodarka finansowa" w:history="1">
        <w:r w:rsidRPr="006A1002">
          <w:rPr>
            <w:rFonts w:ascii="Arial" w:eastAsia="Times New Roman" w:hAnsi="Arial" w:cs="Arial"/>
            <w:sz w:val="24"/>
            <w:szCs w:val="24"/>
            <w:lang w:eastAsia="pl-PL"/>
          </w:rPr>
          <w:t>gospodarki finansowej</w:t>
        </w:r>
      </w:hyperlink>
      <w:r w:rsidRPr="006A1002">
        <w:rPr>
          <w:rFonts w:ascii="Arial" w:eastAsia="Times New Roman" w:hAnsi="Arial" w:cs="Arial"/>
          <w:sz w:val="24"/>
          <w:szCs w:val="24"/>
          <w:lang w:eastAsia="pl-PL"/>
        </w:rPr>
        <w:t xml:space="preserve"> przy wykorzystaniu metod, narzędzi i sposobów działania wyznaczonych do osiągnięcia tych celów. </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Politykę finansową mogą realizować różne jednostki gospodarujące, a treść polityki finansowej zależy od podmiotu, który prowadzi gospodarkę finansową. Biorąc za podstawę ten rodzaj podejścia, mówi się o jej </w:t>
      </w:r>
      <w:hyperlink r:id="rId99" w:tooltip="Mikroekonomia" w:history="1">
        <w:r w:rsidRPr="006A1002">
          <w:rPr>
            <w:rFonts w:ascii="Arial" w:eastAsia="Times New Roman" w:hAnsi="Arial" w:cs="Arial"/>
            <w:sz w:val="24"/>
            <w:szCs w:val="24"/>
            <w:lang w:eastAsia="pl-PL"/>
          </w:rPr>
          <w:t>mikroekonomicznym</w:t>
        </w:r>
      </w:hyperlink>
      <w:r w:rsidRPr="006A1002">
        <w:rPr>
          <w:rFonts w:ascii="Arial" w:eastAsia="Times New Roman" w:hAnsi="Arial" w:cs="Arial"/>
          <w:sz w:val="24"/>
          <w:szCs w:val="24"/>
          <w:lang w:eastAsia="pl-PL"/>
        </w:rPr>
        <w:t xml:space="preserve"> i </w:t>
      </w:r>
      <w:hyperlink r:id="rId100" w:tooltip="Makroekonomia" w:history="1">
        <w:r w:rsidRPr="006A1002">
          <w:rPr>
            <w:rFonts w:ascii="Arial" w:eastAsia="Times New Roman" w:hAnsi="Arial" w:cs="Arial"/>
            <w:sz w:val="24"/>
            <w:szCs w:val="24"/>
            <w:lang w:eastAsia="pl-PL"/>
          </w:rPr>
          <w:t>makroekonomicznym</w:t>
        </w:r>
      </w:hyperlink>
      <w:r w:rsidRPr="006A1002">
        <w:rPr>
          <w:rFonts w:ascii="Arial" w:eastAsia="Times New Roman" w:hAnsi="Arial" w:cs="Arial"/>
          <w:sz w:val="24"/>
          <w:szCs w:val="24"/>
          <w:lang w:eastAsia="pl-PL"/>
        </w:rPr>
        <w:t xml:space="preserve"> charakterze. Pierwszy z nich dotyczy </w:t>
      </w:r>
      <w:hyperlink r:id="rId101" w:tooltip="Gospodarstwo domowe" w:history="1">
        <w:r w:rsidRPr="006A1002">
          <w:rPr>
            <w:rFonts w:ascii="Arial" w:eastAsia="Times New Roman" w:hAnsi="Arial" w:cs="Arial"/>
            <w:sz w:val="24"/>
            <w:szCs w:val="24"/>
            <w:lang w:eastAsia="pl-PL"/>
          </w:rPr>
          <w:t>gospodarstw domowych</w:t>
        </w:r>
      </w:hyperlink>
      <w:r w:rsidRPr="006A1002">
        <w:rPr>
          <w:rFonts w:ascii="Arial" w:eastAsia="Times New Roman" w:hAnsi="Arial" w:cs="Arial"/>
          <w:sz w:val="24"/>
          <w:szCs w:val="24"/>
          <w:lang w:eastAsia="pl-PL"/>
        </w:rPr>
        <w:t xml:space="preserve"> oraz </w:t>
      </w:r>
      <w:hyperlink r:id="rId102" w:tooltip="Przedsiębiorstwo" w:history="1">
        <w:r w:rsidRPr="006A1002">
          <w:rPr>
            <w:rFonts w:ascii="Arial" w:eastAsia="Times New Roman" w:hAnsi="Arial" w:cs="Arial"/>
            <w:sz w:val="24"/>
            <w:szCs w:val="24"/>
            <w:lang w:eastAsia="pl-PL"/>
          </w:rPr>
          <w:t>przedsiębiorstw</w:t>
        </w:r>
      </w:hyperlink>
      <w:r w:rsidRPr="006A1002">
        <w:rPr>
          <w:rFonts w:ascii="Arial" w:eastAsia="Times New Roman" w:hAnsi="Arial" w:cs="Arial"/>
          <w:sz w:val="24"/>
          <w:szCs w:val="24"/>
          <w:lang w:eastAsia="pl-PL"/>
        </w:rPr>
        <w:t xml:space="preserve"> i prowadzonej przez nich polityki finansowej. Drugi odnosi się do działań </w:t>
      </w:r>
      <w:hyperlink r:id="rId103" w:tooltip="Państwo" w:history="1">
        <w:r w:rsidRPr="006A1002">
          <w:rPr>
            <w:rFonts w:ascii="Arial" w:eastAsia="Times New Roman" w:hAnsi="Arial" w:cs="Arial"/>
            <w:sz w:val="24"/>
            <w:szCs w:val="24"/>
            <w:lang w:eastAsia="pl-PL"/>
          </w:rPr>
          <w:t>państwa</w:t>
        </w:r>
      </w:hyperlink>
      <w:hyperlink r:id="rId104" w:anchor="cite_note-CITEREFGołębiowski201013–14-1" w:history="1">
        <w:r w:rsidRPr="006A1002">
          <w:rPr>
            <w:rFonts w:ascii="Arial" w:eastAsia="Times New Roman" w:hAnsi="Arial" w:cs="Arial"/>
            <w:sz w:val="24"/>
            <w:szCs w:val="24"/>
            <w:vertAlign w:val="superscript"/>
            <w:lang w:eastAsia="pl-PL"/>
          </w:rPr>
          <w:t>[1]</w:t>
        </w:r>
      </w:hyperlink>
      <w:r w:rsidRPr="006A1002">
        <w:rPr>
          <w:rFonts w:ascii="Arial" w:eastAsia="Times New Roman" w:hAnsi="Arial" w:cs="Arial"/>
          <w:sz w:val="24"/>
          <w:szCs w:val="24"/>
          <w:lang w:eastAsia="pl-PL"/>
        </w:rPr>
        <w:t xml:space="preserve">. </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 xml:space="preserve">Polityka finansowa gospodarstw domowych koncentruje się na osiąganiu dochodów poprzez pracę czy udostępnianie własnych kapitałów i zarządzaniu </w:t>
      </w:r>
      <w:hyperlink r:id="rId105" w:tooltip="Konsumpcja" w:history="1">
        <w:r w:rsidRPr="006A1002">
          <w:rPr>
            <w:rFonts w:ascii="Arial" w:eastAsia="Times New Roman" w:hAnsi="Arial" w:cs="Arial"/>
            <w:sz w:val="24"/>
            <w:szCs w:val="24"/>
            <w:lang w:eastAsia="pl-PL"/>
          </w:rPr>
          <w:t>konsumpcją</w:t>
        </w:r>
      </w:hyperlink>
      <w:r w:rsidRPr="006A1002">
        <w:rPr>
          <w:rFonts w:ascii="Arial" w:eastAsia="Times New Roman" w:hAnsi="Arial" w:cs="Arial"/>
          <w:sz w:val="24"/>
          <w:szCs w:val="24"/>
          <w:lang w:eastAsia="pl-PL"/>
        </w:rPr>
        <w:t xml:space="preserve">, tj. regulowaniu struktury </w:t>
      </w:r>
      <w:hyperlink r:id="rId106" w:tooltip="Wydatki konsumpcyjne (strona nie istnieje)" w:history="1">
        <w:r w:rsidRPr="006A1002">
          <w:rPr>
            <w:rFonts w:ascii="Arial" w:eastAsia="Times New Roman" w:hAnsi="Arial" w:cs="Arial"/>
            <w:sz w:val="24"/>
            <w:szCs w:val="24"/>
            <w:lang w:eastAsia="pl-PL"/>
          </w:rPr>
          <w:t>wydatków konsumpcyjnych</w:t>
        </w:r>
      </w:hyperlink>
      <w:r w:rsidRPr="006A1002">
        <w:rPr>
          <w:rFonts w:ascii="Arial" w:eastAsia="Times New Roman" w:hAnsi="Arial" w:cs="Arial"/>
          <w:sz w:val="24"/>
          <w:szCs w:val="24"/>
          <w:lang w:eastAsia="pl-PL"/>
        </w:rPr>
        <w:t xml:space="preserve">. Polityka finansowa przedsiębiorstw na ogół koncentruje się na zwiększaniu wartości przedsiębiorstwa poprzez aktywne zarządzanie jego </w:t>
      </w:r>
      <w:hyperlink r:id="rId107" w:tooltip="Majątek" w:history="1">
        <w:r w:rsidRPr="006A1002">
          <w:rPr>
            <w:rFonts w:ascii="Arial" w:eastAsia="Times New Roman" w:hAnsi="Arial" w:cs="Arial"/>
            <w:sz w:val="24"/>
            <w:szCs w:val="24"/>
            <w:lang w:eastAsia="pl-PL"/>
          </w:rPr>
          <w:t>majątkiem</w:t>
        </w:r>
      </w:hyperlink>
      <w:r w:rsidRPr="006A1002">
        <w:rPr>
          <w:rFonts w:ascii="Arial" w:eastAsia="Times New Roman" w:hAnsi="Arial" w:cs="Arial"/>
          <w:sz w:val="24"/>
          <w:szCs w:val="24"/>
          <w:lang w:eastAsia="pl-PL"/>
        </w:rPr>
        <w:t xml:space="preserve">, efektywnością </w:t>
      </w:r>
      <w:hyperlink r:id="rId108" w:tooltip="Produkcja" w:history="1">
        <w:r w:rsidRPr="006A1002">
          <w:rPr>
            <w:rFonts w:ascii="Arial" w:eastAsia="Times New Roman" w:hAnsi="Arial" w:cs="Arial"/>
            <w:sz w:val="24"/>
            <w:szCs w:val="24"/>
            <w:lang w:eastAsia="pl-PL"/>
          </w:rPr>
          <w:t>produkcji</w:t>
        </w:r>
      </w:hyperlink>
      <w:r w:rsidRPr="006A1002">
        <w:rPr>
          <w:rFonts w:ascii="Arial" w:eastAsia="Times New Roman" w:hAnsi="Arial" w:cs="Arial"/>
          <w:sz w:val="24"/>
          <w:szCs w:val="24"/>
          <w:lang w:eastAsia="pl-PL"/>
        </w:rPr>
        <w:t xml:space="preserve"> oraz </w:t>
      </w:r>
      <w:hyperlink r:id="rId109" w:tooltip="Przepływy pieniężne" w:history="1">
        <w:r w:rsidRPr="006A1002">
          <w:rPr>
            <w:rFonts w:ascii="Arial" w:eastAsia="Times New Roman" w:hAnsi="Arial" w:cs="Arial"/>
            <w:sz w:val="24"/>
            <w:szCs w:val="24"/>
            <w:lang w:eastAsia="pl-PL"/>
          </w:rPr>
          <w:t>przepływami finansowymi</w:t>
        </w:r>
      </w:hyperlink>
      <w:r w:rsidRPr="006A1002">
        <w:rPr>
          <w:rFonts w:ascii="Arial" w:eastAsia="Times New Roman" w:hAnsi="Arial" w:cs="Arial"/>
          <w:sz w:val="24"/>
          <w:szCs w:val="24"/>
          <w:lang w:eastAsia="pl-PL"/>
        </w:rPr>
        <w:t xml:space="preserve">. Polityka finansowa gospodarstw domowych oraz przedsiębiorstw koncentruje się na ich jednostkowych celach, stąd nadaje się im charakter mikroekonomiczny. </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lastRenderedPageBreak/>
        <w:t xml:space="preserve">Charakter makroekonomiczny polityki finansowej państwa wynika z rodzaju celów i instrumentów ich realizacji. Polityka finansowa wyraża umiejętność gromadzenia i wydatkowania publicznych </w:t>
      </w:r>
      <w:hyperlink r:id="rId110" w:tooltip="Środki pieniężne" w:history="1">
        <w:r w:rsidRPr="006A1002">
          <w:rPr>
            <w:rFonts w:ascii="Arial" w:eastAsia="Times New Roman" w:hAnsi="Arial" w:cs="Arial"/>
            <w:sz w:val="24"/>
            <w:szCs w:val="24"/>
            <w:lang w:eastAsia="pl-PL"/>
          </w:rPr>
          <w:t>środków pieniężnych</w:t>
        </w:r>
      </w:hyperlink>
      <w:r w:rsidRPr="006A1002">
        <w:rPr>
          <w:rFonts w:ascii="Arial" w:eastAsia="Times New Roman" w:hAnsi="Arial" w:cs="Arial"/>
          <w:sz w:val="24"/>
          <w:szCs w:val="24"/>
          <w:lang w:eastAsia="pl-PL"/>
        </w:rPr>
        <w:t xml:space="preserve"> dla realizacji celów społecznych i gospodarczych. Jest to świadoma działalność organów i instytucji państwa, polegająca na określaniu celu swojej działalności oraz optymalnych rozwiązań (środków) dla osiągnięcia tych celów. </w:t>
      </w:r>
    </w:p>
    <w:p w:rsidR="00574391" w:rsidRPr="006A1002" w:rsidRDefault="00574391" w:rsidP="006A1002">
      <w:pPr>
        <w:spacing w:before="100" w:beforeAutospacing="1" w:after="100" w:afterAutospacing="1" w:line="240" w:lineRule="auto"/>
        <w:jc w:val="both"/>
        <w:rPr>
          <w:rFonts w:ascii="Arial" w:eastAsia="Times New Roman" w:hAnsi="Arial" w:cs="Arial"/>
          <w:sz w:val="24"/>
          <w:szCs w:val="24"/>
          <w:lang w:eastAsia="pl-PL"/>
        </w:rPr>
      </w:pPr>
      <w:r w:rsidRPr="006A1002">
        <w:rPr>
          <w:rFonts w:ascii="Arial" w:eastAsia="Times New Roman" w:hAnsi="Arial" w:cs="Arial"/>
          <w:sz w:val="24"/>
          <w:szCs w:val="24"/>
          <w:lang w:eastAsia="pl-PL"/>
        </w:rPr>
        <w:t>Wśród celów polityki finansowej wyróżnia się: strategiczne (nadrzędne) lub odcinkowe (drugorzędne), krótko- lub długookresowe, a także dotyczące gromadzenia (</w:t>
      </w:r>
      <w:hyperlink r:id="rId111" w:tooltip="Pasywa" w:history="1">
        <w:r w:rsidRPr="006A1002">
          <w:rPr>
            <w:rFonts w:ascii="Arial" w:eastAsia="Times New Roman" w:hAnsi="Arial" w:cs="Arial"/>
            <w:sz w:val="24"/>
            <w:szCs w:val="24"/>
            <w:lang w:eastAsia="pl-PL"/>
          </w:rPr>
          <w:t>pasywów</w:t>
        </w:r>
      </w:hyperlink>
      <w:r w:rsidRPr="006A1002">
        <w:rPr>
          <w:rFonts w:ascii="Arial" w:eastAsia="Times New Roman" w:hAnsi="Arial" w:cs="Arial"/>
          <w:sz w:val="24"/>
          <w:szCs w:val="24"/>
          <w:lang w:eastAsia="pl-PL"/>
        </w:rPr>
        <w:t>) lub wydatkowania (</w:t>
      </w:r>
      <w:hyperlink r:id="rId112" w:tooltip="Aktywa" w:history="1">
        <w:r w:rsidRPr="006A1002">
          <w:rPr>
            <w:rFonts w:ascii="Arial" w:eastAsia="Times New Roman" w:hAnsi="Arial" w:cs="Arial"/>
            <w:sz w:val="24"/>
            <w:szCs w:val="24"/>
            <w:lang w:eastAsia="pl-PL"/>
          </w:rPr>
          <w:t>aktywów</w:t>
        </w:r>
      </w:hyperlink>
      <w:r w:rsidRPr="006A1002">
        <w:rPr>
          <w:rFonts w:ascii="Arial" w:eastAsia="Times New Roman" w:hAnsi="Arial" w:cs="Arial"/>
          <w:sz w:val="24"/>
          <w:szCs w:val="24"/>
          <w:lang w:eastAsia="pl-PL"/>
        </w:rPr>
        <w:t xml:space="preserve">). Muszą one jednocześnie spełniać następujące kryteria: realności, niesprzeczności, jasności, akceptowalności. Samą politykę finansową państwa można podzielić na </w:t>
      </w:r>
      <w:hyperlink r:id="rId113" w:tooltip="Polityka fiskalna" w:history="1">
        <w:r w:rsidRPr="006A1002">
          <w:rPr>
            <w:rFonts w:ascii="Arial" w:eastAsia="Times New Roman" w:hAnsi="Arial" w:cs="Arial"/>
            <w:sz w:val="24"/>
            <w:szCs w:val="24"/>
            <w:lang w:eastAsia="pl-PL"/>
          </w:rPr>
          <w:t>politykę fiskalno-budżetową</w:t>
        </w:r>
      </w:hyperlink>
      <w:r w:rsidRPr="006A1002">
        <w:rPr>
          <w:rFonts w:ascii="Arial" w:eastAsia="Times New Roman" w:hAnsi="Arial" w:cs="Arial"/>
          <w:sz w:val="24"/>
          <w:szCs w:val="24"/>
          <w:lang w:eastAsia="pl-PL"/>
        </w:rPr>
        <w:t xml:space="preserve"> (rozwijaną przez </w:t>
      </w:r>
      <w:hyperlink r:id="rId114" w:tooltip="Rząd (prawo)" w:history="1">
        <w:r w:rsidRPr="006A1002">
          <w:rPr>
            <w:rFonts w:ascii="Arial" w:eastAsia="Times New Roman" w:hAnsi="Arial" w:cs="Arial"/>
            <w:sz w:val="24"/>
            <w:szCs w:val="24"/>
            <w:lang w:eastAsia="pl-PL"/>
          </w:rPr>
          <w:t>rząd</w:t>
        </w:r>
      </w:hyperlink>
      <w:r w:rsidRPr="006A1002">
        <w:rPr>
          <w:rFonts w:ascii="Arial" w:eastAsia="Times New Roman" w:hAnsi="Arial" w:cs="Arial"/>
          <w:sz w:val="24"/>
          <w:szCs w:val="24"/>
          <w:lang w:eastAsia="pl-PL"/>
        </w:rPr>
        <w:t xml:space="preserve">) oraz </w:t>
      </w:r>
      <w:hyperlink r:id="rId115" w:tooltip="Polityka pieniężna" w:history="1">
        <w:r w:rsidRPr="006A1002">
          <w:rPr>
            <w:rFonts w:ascii="Arial" w:eastAsia="Times New Roman" w:hAnsi="Arial" w:cs="Arial"/>
            <w:sz w:val="24"/>
            <w:szCs w:val="24"/>
            <w:lang w:eastAsia="pl-PL"/>
          </w:rPr>
          <w:t>politykę monetarną</w:t>
        </w:r>
      </w:hyperlink>
      <w:r w:rsidRPr="006A1002">
        <w:rPr>
          <w:rFonts w:ascii="Arial" w:eastAsia="Times New Roman" w:hAnsi="Arial" w:cs="Arial"/>
          <w:sz w:val="24"/>
          <w:szCs w:val="24"/>
          <w:lang w:eastAsia="pl-PL"/>
        </w:rPr>
        <w:t xml:space="preserve"> (za którą odpowiedzialny jest </w:t>
      </w:r>
      <w:hyperlink r:id="rId116" w:tooltip="Bank centralny" w:history="1">
        <w:r w:rsidRPr="006A1002">
          <w:rPr>
            <w:rFonts w:ascii="Arial" w:eastAsia="Times New Roman" w:hAnsi="Arial" w:cs="Arial"/>
            <w:sz w:val="24"/>
            <w:szCs w:val="24"/>
            <w:lang w:eastAsia="pl-PL"/>
          </w:rPr>
          <w:t>bank centralny</w:t>
        </w:r>
      </w:hyperlink>
      <w:r w:rsidRPr="006A1002">
        <w:rPr>
          <w:rFonts w:ascii="Arial" w:eastAsia="Times New Roman" w:hAnsi="Arial" w:cs="Arial"/>
          <w:sz w:val="24"/>
          <w:szCs w:val="24"/>
          <w:lang w:eastAsia="pl-PL"/>
        </w:rPr>
        <w:t xml:space="preserve">), w skład której wchodzi </w:t>
      </w:r>
      <w:hyperlink r:id="rId117" w:tooltip="Polityka pieniężna" w:history="1">
        <w:r w:rsidRPr="006A1002">
          <w:rPr>
            <w:rFonts w:ascii="Arial" w:eastAsia="Times New Roman" w:hAnsi="Arial" w:cs="Arial"/>
            <w:sz w:val="24"/>
            <w:szCs w:val="24"/>
            <w:lang w:eastAsia="pl-PL"/>
          </w:rPr>
          <w:t>polityka pieniężna</w:t>
        </w:r>
      </w:hyperlink>
      <w:r w:rsidRPr="006A1002">
        <w:rPr>
          <w:rFonts w:ascii="Arial" w:eastAsia="Times New Roman" w:hAnsi="Arial" w:cs="Arial"/>
          <w:sz w:val="24"/>
          <w:szCs w:val="24"/>
          <w:lang w:eastAsia="pl-PL"/>
        </w:rPr>
        <w:t xml:space="preserve"> i </w:t>
      </w:r>
      <w:hyperlink r:id="rId118" w:tooltip="Polityka kursu walutowego" w:history="1">
        <w:r w:rsidRPr="006A1002">
          <w:rPr>
            <w:rFonts w:ascii="Arial" w:eastAsia="Times New Roman" w:hAnsi="Arial" w:cs="Arial"/>
            <w:sz w:val="24"/>
            <w:szCs w:val="24"/>
            <w:lang w:eastAsia="pl-PL"/>
          </w:rPr>
          <w:t>polityka kursu walutowego</w:t>
        </w:r>
      </w:hyperlink>
      <w:r w:rsidRPr="006A1002">
        <w:rPr>
          <w:rFonts w:ascii="Arial" w:eastAsia="Times New Roman" w:hAnsi="Arial" w:cs="Arial"/>
          <w:sz w:val="24"/>
          <w:szCs w:val="24"/>
          <w:lang w:eastAsia="pl-PL"/>
        </w:rPr>
        <w:t xml:space="preserve">. </w:t>
      </w:r>
    </w:p>
    <w:p w:rsidR="00574391" w:rsidRPr="006A1002" w:rsidRDefault="00574391" w:rsidP="006A1002">
      <w:pPr>
        <w:jc w:val="both"/>
        <w:rPr>
          <w:rFonts w:ascii="Arial" w:eastAsia="Times New Roman" w:hAnsi="Arial" w:cs="Arial"/>
          <w:b/>
          <w:bCs/>
          <w:sz w:val="24"/>
          <w:szCs w:val="24"/>
          <w:lang w:eastAsia="pl-PL"/>
        </w:rPr>
      </w:pPr>
    </w:p>
    <w:p w:rsidR="00574391" w:rsidRPr="006A1002" w:rsidRDefault="00574391" w:rsidP="006A1002">
      <w:pPr>
        <w:jc w:val="both"/>
        <w:rPr>
          <w:rFonts w:ascii="Arial" w:hAnsi="Arial" w:cs="Arial"/>
          <w:sz w:val="24"/>
          <w:szCs w:val="24"/>
        </w:rPr>
      </w:pPr>
    </w:p>
    <w:p w:rsidR="00574391" w:rsidRPr="006A1002" w:rsidRDefault="00574391" w:rsidP="006A1002">
      <w:pPr>
        <w:jc w:val="both"/>
        <w:rPr>
          <w:rFonts w:ascii="Arial" w:hAnsi="Arial" w:cs="Arial"/>
          <w:sz w:val="24"/>
          <w:szCs w:val="24"/>
        </w:rPr>
      </w:pPr>
    </w:p>
    <w:sectPr w:rsidR="00574391" w:rsidRPr="006A10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96E61"/>
    <w:multiLevelType w:val="multilevel"/>
    <w:tmpl w:val="AA94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73323"/>
    <w:multiLevelType w:val="multilevel"/>
    <w:tmpl w:val="014E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30DF8"/>
    <w:multiLevelType w:val="multilevel"/>
    <w:tmpl w:val="39F27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54E3D"/>
    <w:multiLevelType w:val="multilevel"/>
    <w:tmpl w:val="87A8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15981"/>
    <w:multiLevelType w:val="multilevel"/>
    <w:tmpl w:val="FBBA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F500C"/>
    <w:multiLevelType w:val="multilevel"/>
    <w:tmpl w:val="6B82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8E4C20"/>
    <w:multiLevelType w:val="multilevel"/>
    <w:tmpl w:val="75F0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855A6E"/>
    <w:multiLevelType w:val="multilevel"/>
    <w:tmpl w:val="E026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7"/>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391"/>
    <w:rsid w:val="00574391"/>
    <w:rsid w:val="006A1002"/>
    <w:rsid w:val="006C2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E387F7-D6FB-47A1-9919-D5DAA49EA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57439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74391"/>
    <w:rPr>
      <w:b/>
      <w:bCs/>
    </w:rPr>
  </w:style>
  <w:style w:type="character" w:styleId="Hipercze">
    <w:name w:val="Hyperlink"/>
    <w:basedOn w:val="Domylnaczcionkaakapitu"/>
    <w:uiPriority w:val="99"/>
    <w:unhideWhenUsed/>
    <w:rsid w:val="005743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189421">
      <w:bodyDiv w:val="1"/>
      <w:marLeft w:val="0"/>
      <w:marRight w:val="0"/>
      <w:marTop w:val="0"/>
      <w:marBottom w:val="0"/>
      <w:divBdr>
        <w:top w:val="none" w:sz="0" w:space="0" w:color="auto"/>
        <w:left w:val="none" w:sz="0" w:space="0" w:color="auto"/>
        <w:bottom w:val="none" w:sz="0" w:space="0" w:color="auto"/>
        <w:right w:val="none" w:sz="0" w:space="0" w:color="auto"/>
      </w:divBdr>
      <w:divsChild>
        <w:div w:id="1076127915">
          <w:marLeft w:val="0"/>
          <w:marRight w:val="0"/>
          <w:marTop w:val="0"/>
          <w:marBottom w:val="0"/>
          <w:divBdr>
            <w:top w:val="none" w:sz="0" w:space="0" w:color="auto"/>
            <w:left w:val="none" w:sz="0" w:space="0" w:color="auto"/>
            <w:bottom w:val="none" w:sz="0" w:space="0" w:color="auto"/>
            <w:right w:val="none" w:sz="0" w:space="0" w:color="auto"/>
          </w:divBdr>
          <w:divsChild>
            <w:div w:id="234630035">
              <w:marLeft w:val="0"/>
              <w:marRight w:val="0"/>
              <w:marTop w:val="0"/>
              <w:marBottom w:val="0"/>
              <w:divBdr>
                <w:top w:val="none" w:sz="0" w:space="0" w:color="auto"/>
                <w:left w:val="none" w:sz="0" w:space="0" w:color="auto"/>
                <w:bottom w:val="none" w:sz="0" w:space="0" w:color="auto"/>
                <w:right w:val="none" w:sz="0" w:space="0" w:color="auto"/>
              </w:divBdr>
            </w:div>
          </w:divsChild>
        </w:div>
        <w:div w:id="1977104082">
          <w:marLeft w:val="0"/>
          <w:marRight w:val="0"/>
          <w:marTop w:val="0"/>
          <w:marBottom w:val="0"/>
          <w:divBdr>
            <w:top w:val="none" w:sz="0" w:space="0" w:color="auto"/>
            <w:left w:val="none" w:sz="0" w:space="0" w:color="auto"/>
            <w:bottom w:val="none" w:sz="0" w:space="0" w:color="auto"/>
            <w:right w:val="none" w:sz="0" w:space="0" w:color="auto"/>
          </w:divBdr>
          <w:divsChild>
            <w:div w:id="25645695">
              <w:marLeft w:val="0"/>
              <w:marRight w:val="0"/>
              <w:marTop w:val="0"/>
              <w:marBottom w:val="0"/>
              <w:divBdr>
                <w:top w:val="none" w:sz="0" w:space="0" w:color="auto"/>
                <w:left w:val="none" w:sz="0" w:space="0" w:color="auto"/>
                <w:bottom w:val="none" w:sz="0" w:space="0" w:color="auto"/>
                <w:right w:val="none" w:sz="0" w:space="0" w:color="auto"/>
              </w:divBdr>
            </w:div>
          </w:divsChild>
        </w:div>
        <w:div w:id="752167409">
          <w:marLeft w:val="0"/>
          <w:marRight w:val="0"/>
          <w:marTop w:val="0"/>
          <w:marBottom w:val="0"/>
          <w:divBdr>
            <w:top w:val="none" w:sz="0" w:space="0" w:color="auto"/>
            <w:left w:val="none" w:sz="0" w:space="0" w:color="auto"/>
            <w:bottom w:val="none" w:sz="0" w:space="0" w:color="auto"/>
            <w:right w:val="none" w:sz="0" w:space="0" w:color="auto"/>
          </w:divBdr>
          <w:divsChild>
            <w:div w:id="75636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60854">
      <w:bodyDiv w:val="1"/>
      <w:marLeft w:val="0"/>
      <w:marRight w:val="0"/>
      <w:marTop w:val="0"/>
      <w:marBottom w:val="0"/>
      <w:divBdr>
        <w:top w:val="none" w:sz="0" w:space="0" w:color="auto"/>
        <w:left w:val="none" w:sz="0" w:space="0" w:color="auto"/>
        <w:bottom w:val="none" w:sz="0" w:space="0" w:color="auto"/>
        <w:right w:val="none" w:sz="0" w:space="0" w:color="auto"/>
      </w:divBdr>
    </w:div>
    <w:div w:id="658538219">
      <w:bodyDiv w:val="1"/>
      <w:marLeft w:val="0"/>
      <w:marRight w:val="0"/>
      <w:marTop w:val="0"/>
      <w:marBottom w:val="0"/>
      <w:divBdr>
        <w:top w:val="none" w:sz="0" w:space="0" w:color="auto"/>
        <w:left w:val="none" w:sz="0" w:space="0" w:color="auto"/>
        <w:bottom w:val="none" w:sz="0" w:space="0" w:color="auto"/>
        <w:right w:val="none" w:sz="0" w:space="0" w:color="auto"/>
      </w:divBdr>
    </w:div>
    <w:div w:id="749886649">
      <w:bodyDiv w:val="1"/>
      <w:marLeft w:val="0"/>
      <w:marRight w:val="0"/>
      <w:marTop w:val="0"/>
      <w:marBottom w:val="0"/>
      <w:divBdr>
        <w:top w:val="none" w:sz="0" w:space="0" w:color="auto"/>
        <w:left w:val="none" w:sz="0" w:space="0" w:color="auto"/>
        <w:bottom w:val="none" w:sz="0" w:space="0" w:color="auto"/>
        <w:right w:val="none" w:sz="0" w:space="0" w:color="auto"/>
      </w:divBdr>
    </w:div>
    <w:div w:id="786042054">
      <w:bodyDiv w:val="1"/>
      <w:marLeft w:val="0"/>
      <w:marRight w:val="0"/>
      <w:marTop w:val="0"/>
      <w:marBottom w:val="0"/>
      <w:divBdr>
        <w:top w:val="none" w:sz="0" w:space="0" w:color="auto"/>
        <w:left w:val="none" w:sz="0" w:space="0" w:color="auto"/>
        <w:bottom w:val="none" w:sz="0" w:space="0" w:color="auto"/>
        <w:right w:val="none" w:sz="0" w:space="0" w:color="auto"/>
      </w:divBdr>
    </w:div>
    <w:div w:id="963077537">
      <w:bodyDiv w:val="1"/>
      <w:marLeft w:val="0"/>
      <w:marRight w:val="0"/>
      <w:marTop w:val="0"/>
      <w:marBottom w:val="0"/>
      <w:divBdr>
        <w:top w:val="none" w:sz="0" w:space="0" w:color="auto"/>
        <w:left w:val="none" w:sz="0" w:space="0" w:color="auto"/>
        <w:bottom w:val="none" w:sz="0" w:space="0" w:color="auto"/>
        <w:right w:val="none" w:sz="0" w:space="0" w:color="auto"/>
      </w:divBdr>
    </w:div>
    <w:div w:id="1196041908">
      <w:bodyDiv w:val="1"/>
      <w:marLeft w:val="0"/>
      <w:marRight w:val="0"/>
      <w:marTop w:val="0"/>
      <w:marBottom w:val="0"/>
      <w:divBdr>
        <w:top w:val="none" w:sz="0" w:space="0" w:color="auto"/>
        <w:left w:val="none" w:sz="0" w:space="0" w:color="auto"/>
        <w:bottom w:val="none" w:sz="0" w:space="0" w:color="auto"/>
        <w:right w:val="none" w:sz="0" w:space="0" w:color="auto"/>
      </w:divBdr>
    </w:div>
    <w:div w:id="1564827023">
      <w:bodyDiv w:val="1"/>
      <w:marLeft w:val="0"/>
      <w:marRight w:val="0"/>
      <w:marTop w:val="0"/>
      <w:marBottom w:val="0"/>
      <w:divBdr>
        <w:top w:val="none" w:sz="0" w:space="0" w:color="auto"/>
        <w:left w:val="none" w:sz="0" w:space="0" w:color="auto"/>
        <w:bottom w:val="none" w:sz="0" w:space="0" w:color="auto"/>
        <w:right w:val="none" w:sz="0" w:space="0" w:color="auto"/>
      </w:divBdr>
    </w:div>
    <w:div w:id="205684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l.wikipedia.org/wiki/Punkt_r%C3%B3wnowagi_cenowej" TargetMode="External"/><Relationship Id="rId117" Type="http://schemas.openxmlformats.org/officeDocument/2006/relationships/hyperlink" Target="https://pl.wikipedia.org/wiki/Polityka_pieni%C4%99%C5%BCna" TargetMode="External"/><Relationship Id="rId21" Type="http://schemas.openxmlformats.org/officeDocument/2006/relationships/hyperlink" Target="https://pl.wikipedia.org/w/index.php?title=Producent_(ekonomia)&amp;action=edit&amp;redlink=1" TargetMode="External"/><Relationship Id="rId42" Type="http://schemas.openxmlformats.org/officeDocument/2006/relationships/hyperlink" Target="https://pl.wikipedia.org/w/index.php?title=Doch%C3%B3d_zagraniczny&amp;action=edit&amp;redlink=1" TargetMode="External"/><Relationship Id="rId47" Type="http://schemas.openxmlformats.org/officeDocument/2006/relationships/hyperlink" Target="https://pl.wikipedia.org/wiki/Subwencja" TargetMode="External"/><Relationship Id="rId63" Type="http://schemas.openxmlformats.org/officeDocument/2006/relationships/hyperlink" Target="https://pl.wikipedia.org/wiki/Przedsi%C4%99biorstwo" TargetMode="External"/><Relationship Id="rId68" Type="http://schemas.openxmlformats.org/officeDocument/2006/relationships/hyperlink" Target="https://pl.wikipedia.org/wiki/Rynek_(ekonomia)" TargetMode="External"/><Relationship Id="rId84" Type="http://schemas.openxmlformats.org/officeDocument/2006/relationships/hyperlink" Target="https://pl.wikipedia.org/wiki/Zak%C5%82ad_bud%C5%BCetowy" TargetMode="External"/><Relationship Id="rId89" Type="http://schemas.openxmlformats.org/officeDocument/2006/relationships/hyperlink" Target="https://pl.wikipedia.org/wiki/Dziennik_Ustaw" TargetMode="External"/><Relationship Id="rId112" Type="http://schemas.openxmlformats.org/officeDocument/2006/relationships/hyperlink" Target="https://pl.wikipedia.org/wiki/Aktywa" TargetMode="External"/><Relationship Id="rId16" Type="http://schemas.openxmlformats.org/officeDocument/2006/relationships/hyperlink" Target="https://pl.wikipedia.org/wiki/Punkt_r%C3%B3wnowagi_cenowej" TargetMode="External"/><Relationship Id="rId107" Type="http://schemas.openxmlformats.org/officeDocument/2006/relationships/hyperlink" Target="https://pl.wikipedia.org/wiki/Maj%C4%85tek" TargetMode="External"/><Relationship Id="rId11" Type="http://schemas.openxmlformats.org/officeDocument/2006/relationships/hyperlink" Target="https://pl.wikipedia.org/wiki/Paradoks_Giffena" TargetMode="External"/><Relationship Id="rId32" Type="http://schemas.openxmlformats.org/officeDocument/2006/relationships/hyperlink" Target="https://pl.wikipedia.org/wiki/Dochody_bud%C5%BCetu_pa%C5%84stwa" TargetMode="External"/><Relationship Id="rId37" Type="http://schemas.openxmlformats.org/officeDocument/2006/relationships/hyperlink" Target="https://pl.wikipedia.org/wiki/Stany_Zjednoczone" TargetMode="External"/><Relationship Id="rId53" Type="http://schemas.openxmlformats.org/officeDocument/2006/relationships/hyperlink" Target="https://pl.wikipedia.org/wiki/Sejm_walny_I_Rzeczypospolitej" TargetMode="External"/><Relationship Id="rId58" Type="http://schemas.openxmlformats.org/officeDocument/2006/relationships/hyperlink" Target="https://pl.wikipedia.org/wiki/Ustawa" TargetMode="External"/><Relationship Id="rId74" Type="http://schemas.openxmlformats.org/officeDocument/2006/relationships/hyperlink" Target="https://pl.wikipedia.org/wiki/Fundusz_celowy" TargetMode="External"/><Relationship Id="rId79" Type="http://schemas.openxmlformats.org/officeDocument/2006/relationships/hyperlink" Target="https://pl.wikipedia.org/wiki/Gospodarka" TargetMode="External"/><Relationship Id="rId102" Type="http://schemas.openxmlformats.org/officeDocument/2006/relationships/hyperlink" Target="https://pl.wikipedia.org/wiki/Przedsi%C4%99biorstwo" TargetMode="External"/><Relationship Id="rId5" Type="http://schemas.openxmlformats.org/officeDocument/2006/relationships/hyperlink" Target="https://pl.wikipedia.org/wiki/Mikroekonomia" TargetMode="External"/><Relationship Id="rId90" Type="http://schemas.openxmlformats.org/officeDocument/2006/relationships/hyperlink" Target="https://pl.wikipedia.org/w/index.php?title=Prerogacja_bud%C5%BCetu&amp;action=edit&amp;redlink=1" TargetMode="External"/><Relationship Id="rId95" Type="http://schemas.openxmlformats.org/officeDocument/2006/relationships/hyperlink" Target="https://pl.wikipedia.org/wiki/Po%C5%BCyczka" TargetMode="External"/><Relationship Id="rId22" Type="http://schemas.openxmlformats.org/officeDocument/2006/relationships/hyperlink" Target="https://pl.wikipedia.org/wiki/Plik:Krzywa_poda%C5%BCy.svg" TargetMode="External"/><Relationship Id="rId27" Type="http://schemas.openxmlformats.org/officeDocument/2006/relationships/hyperlink" Target="https://pl.wikipedia.org/wiki/Plik:Krzywa_poda%C5%BCy-przesuni%C4%99cie_krzywej.svg" TargetMode="External"/><Relationship Id="rId43" Type="http://schemas.openxmlformats.org/officeDocument/2006/relationships/hyperlink" Target="https://pl.wikipedia.org/wiki/Dotacja" TargetMode="External"/><Relationship Id="rId48" Type="http://schemas.openxmlformats.org/officeDocument/2006/relationships/hyperlink" Target="https://pl.wikipedia.org/wiki/J%C4%99zyk_angielski" TargetMode="External"/><Relationship Id="rId64" Type="http://schemas.openxmlformats.org/officeDocument/2006/relationships/hyperlink" Target="https://pl.wikipedia.org/wiki/Gospodarstwo_domowe" TargetMode="External"/><Relationship Id="rId69" Type="http://schemas.openxmlformats.org/officeDocument/2006/relationships/hyperlink" Target="https://pl.wikipedia.org/wiki/Funkcja_stabilizacyjna_finans%C3%B3w_publicznych" TargetMode="External"/><Relationship Id="rId113" Type="http://schemas.openxmlformats.org/officeDocument/2006/relationships/hyperlink" Target="https://pl.wikipedia.org/wiki/Polityka_fiskalna" TargetMode="External"/><Relationship Id="rId118" Type="http://schemas.openxmlformats.org/officeDocument/2006/relationships/hyperlink" Target="https://pl.wikipedia.org/wiki/Polityka_kursu_walutowego" TargetMode="External"/><Relationship Id="rId80" Type="http://schemas.openxmlformats.org/officeDocument/2006/relationships/hyperlink" Target="https://pl.wikipedia.org/wiki/Sektor_finans%C3%B3w_publicznych" TargetMode="External"/><Relationship Id="rId85" Type="http://schemas.openxmlformats.org/officeDocument/2006/relationships/hyperlink" Target="https://pl.wikipedia.org/wiki/Gospodarstwo_pomocnicze" TargetMode="External"/><Relationship Id="rId12" Type="http://schemas.openxmlformats.org/officeDocument/2006/relationships/hyperlink" Target="https://pl.wikipedia.org/wiki/Paradoks_Veblena" TargetMode="External"/><Relationship Id="rId17" Type="http://schemas.openxmlformats.org/officeDocument/2006/relationships/hyperlink" Target="https://pl.wikipedia.org/wiki/Substytut" TargetMode="External"/><Relationship Id="rId33" Type="http://schemas.openxmlformats.org/officeDocument/2006/relationships/hyperlink" Target="https://pl.wikipedia.org/wiki/Wydatki_bud%C5%BCetu_pa%C5%84stwa" TargetMode="External"/><Relationship Id="rId38" Type="http://schemas.openxmlformats.org/officeDocument/2006/relationships/hyperlink" Target="https://pl.wikipedia.org/wiki/Podatek_po%C5%9Bredni" TargetMode="External"/><Relationship Id="rId59" Type="http://schemas.openxmlformats.org/officeDocument/2006/relationships/hyperlink" Target="https://pl.wikipedia.org/wiki/Fundusz" TargetMode="External"/><Relationship Id="rId103" Type="http://schemas.openxmlformats.org/officeDocument/2006/relationships/hyperlink" Target="https://pl.wikipedia.org/wiki/Pa%C5%84stwo" TargetMode="External"/><Relationship Id="rId108" Type="http://schemas.openxmlformats.org/officeDocument/2006/relationships/hyperlink" Target="https://pl.wikipedia.org/wiki/Produkcja" TargetMode="External"/><Relationship Id="rId54" Type="http://schemas.openxmlformats.org/officeDocument/2006/relationships/hyperlink" Target="https://pl.wikipedia.org/wiki/W%C5%82adza" TargetMode="External"/><Relationship Id="rId70" Type="http://schemas.openxmlformats.org/officeDocument/2006/relationships/hyperlink" Target="https://pl.wikipedia.org/wiki/Cykl_koniunkturalny" TargetMode="External"/><Relationship Id="rId75" Type="http://schemas.openxmlformats.org/officeDocument/2006/relationships/hyperlink" Target="https://pl.wikipedia.org/wiki/Podatek_od_%C5%9Brodk%C3%B3w_transportowych" TargetMode="External"/><Relationship Id="rId91" Type="http://schemas.openxmlformats.org/officeDocument/2006/relationships/hyperlink" Target="https://pl.wikipedia.org/wiki/Podatek" TargetMode="External"/><Relationship Id="rId96" Type="http://schemas.openxmlformats.org/officeDocument/2006/relationships/hyperlink" Target="https://pl.wikipedia.org/wiki/Weksel" TargetMode="External"/><Relationship Id="rId1" Type="http://schemas.openxmlformats.org/officeDocument/2006/relationships/numbering" Target="numbering.xml"/><Relationship Id="rId6" Type="http://schemas.openxmlformats.org/officeDocument/2006/relationships/hyperlink" Target="https://pl.wikipedia.org/wiki/Dobra_(ekonomia)" TargetMode="External"/><Relationship Id="rId23" Type="http://schemas.openxmlformats.org/officeDocument/2006/relationships/image" Target="media/image1.png"/><Relationship Id="rId28" Type="http://schemas.openxmlformats.org/officeDocument/2006/relationships/image" Target="media/image2.png"/><Relationship Id="rId49" Type="http://schemas.openxmlformats.org/officeDocument/2006/relationships/hyperlink" Target="https://pl.wikipedia.org/wiki/J%C4%99zyk_francuski" TargetMode="External"/><Relationship Id="rId114" Type="http://schemas.openxmlformats.org/officeDocument/2006/relationships/hyperlink" Target="https://pl.wikipedia.org/wiki/Rz%C4%85d_(prawo)" TargetMode="External"/><Relationship Id="rId119" Type="http://schemas.openxmlformats.org/officeDocument/2006/relationships/fontTable" Target="fontTable.xml"/><Relationship Id="rId10" Type="http://schemas.openxmlformats.org/officeDocument/2006/relationships/hyperlink" Target="https://pl.wikipedia.org/wiki/Funkcja_malej%C4%85ca" TargetMode="External"/><Relationship Id="rId31" Type="http://schemas.openxmlformats.org/officeDocument/2006/relationships/hyperlink" Target="https://pl.wikipedia.org/wiki/Plan_finansowy" TargetMode="External"/><Relationship Id="rId44" Type="http://schemas.openxmlformats.org/officeDocument/2006/relationships/hyperlink" Target="https://pl.wikipedia.org/wiki/D%C5%82ug_publiczny" TargetMode="External"/><Relationship Id="rId52" Type="http://schemas.openxmlformats.org/officeDocument/2006/relationships/hyperlink" Target="https://pl.wikipedia.org/wiki/Mi%C4%99dzynarodowy_przep%C5%82yw_kapita%C5%82u" TargetMode="External"/><Relationship Id="rId60" Type="http://schemas.openxmlformats.org/officeDocument/2006/relationships/hyperlink" Target="https://pl.wikipedia.org/wiki/Akt_normatywny" TargetMode="External"/><Relationship Id="rId65" Type="http://schemas.openxmlformats.org/officeDocument/2006/relationships/hyperlink" Target="https://pl.wikipedia.org/wiki/Renta" TargetMode="External"/><Relationship Id="rId73" Type="http://schemas.openxmlformats.org/officeDocument/2006/relationships/hyperlink" Target="https://pl.wikipedia.org/wiki/Deficyt_bud%C5%BCetowy" TargetMode="External"/><Relationship Id="rId78" Type="http://schemas.openxmlformats.org/officeDocument/2006/relationships/hyperlink" Target="https://pl.wikipedia.org/wiki/Pa%C5%84stwo" TargetMode="External"/><Relationship Id="rId81" Type="http://schemas.openxmlformats.org/officeDocument/2006/relationships/hyperlink" Target="https://pl.wikipedia.org/wiki/Jednostka_bud%C5%BCetowa" TargetMode="External"/><Relationship Id="rId86" Type="http://schemas.openxmlformats.org/officeDocument/2006/relationships/hyperlink" Target="https://pl.wikipedia.org/w/index.php?title=Bud%C5%BCet_operacyjny&amp;action=edit&amp;redlink=1" TargetMode="External"/><Relationship Id="rId94" Type="http://schemas.openxmlformats.org/officeDocument/2006/relationships/hyperlink" Target="https://pl.wikipedia.org/wiki/Kredyt_bankowy" TargetMode="External"/><Relationship Id="rId99" Type="http://schemas.openxmlformats.org/officeDocument/2006/relationships/hyperlink" Target="https://pl.wikipedia.org/wiki/Mikroekonomia" TargetMode="External"/><Relationship Id="rId101" Type="http://schemas.openxmlformats.org/officeDocument/2006/relationships/hyperlink" Target="https://pl.wikipedia.org/wiki/Gospodarstwo_domowe" TargetMode="External"/><Relationship Id="rId4" Type="http://schemas.openxmlformats.org/officeDocument/2006/relationships/webSettings" Target="webSettings.xml"/><Relationship Id="rId9" Type="http://schemas.openxmlformats.org/officeDocument/2006/relationships/hyperlink" Target="https://pl.wikipedia.org/wiki/Ceteris_paribus" TargetMode="External"/><Relationship Id="rId13" Type="http://schemas.openxmlformats.org/officeDocument/2006/relationships/hyperlink" Target="https://pl.wikipedia.org/wiki/Efekt_owczego_p%C4%99du" TargetMode="External"/><Relationship Id="rId18" Type="http://schemas.openxmlformats.org/officeDocument/2006/relationships/hyperlink" Target="https://pl.wikipedia.org/wiki/Dobra_komplementarne" TargetMode="External"/><Relationship Id="rId39" Type="http://schemas.openxmlformats.org/officeDocument/2006/relationships/hyperlink" Target="https://pl.wikipedia.org/wiki/Podatek_bezpo%C5%9Bredni" TargetMode="External"/><Relationship Id="rId109" Type="http://schemas.openxmlformats.org/officeDocument/2006/relationships/hyperlink" Target="https://pl.wikipedia.org/wiki/Przep%C5%82ywy_pieni%C4%99%C5%BCne" TargetMode="External"/><Relationship Id="rId34" Type="http://schemas.openxmlformats.org/officeDocument/2006/relationships/hyperlink" Target="https://pl.wikipedia.org/w/index.php?title=Rok_bud%C5%BCetowy&amp;action=edit&amp;redlink=1" TargetMode="External"/><Relationship Id="rId50" Type="http://schemas.openxmlformats.org/officeDocument/2006/relationships/hyperlink" Target="https://pl.wikipedia.org/wiki/System_parlamentarny" TargetMode="External"/><Relationship Id="rId55" Type="http://schemas.openxmlformats.org/officeDocument/2006/relationships/hyperlink" Target="https://pl.wikipedia.org/w/index.php?title=Administracja_rz%C4%85dowa&amp;action=edit&amp;redlink=1" TargetMode="External"/><Relationship Id="rId76" Type="http://schemas.openxmlformats.org/officeDocument/2006/relationships/hyperlink" Target="https://pl.wikipedia.org/wiki/Bud%C5%BCetowanie_brutto" TargetMode="External"/><Relationship Id="rId97" Type="http://schemas.openxmlformats.org/officeDocument/2006/relationships/hyperlink" Target="https://pl.wikipedia.org/wiki/Obligacja" TargetMode="External"/><Relationship Id="rId104" Type="http://schemas.openxmlformats.org/officeDocument/2006/relationships/hyperlink" Target="https://pl.wikipedia.org/wiki/Polityka_finansowa" TargetMode="External"/><Relationship Id="rId120" Type="http://schemas.openxmlformats.org/officeDocument/2006/relationships/theme" Target="theme/theme1.xml"/><Relationship Id="rId7" Type="http://schemas.openxmlformats.org/officeDocument/2006/relationships/hyperlink" Target="https://pl.wikipedia.org/wiki/Konsument_(ekonomia)" TargetMode="External"/><Relationship Id="rId71" Type="http://schemas.openxmlformats.org/officeDocument/2006/relationships/hyperlink" Target="https://pl.wikipedia.org/wiki/Wzrost_gospodarczy" TargetMode="External"/><Relationship Id="rId92" Type="http://schemas.openxmlformats.org/officeDocument/2006/relationships/hyperlink" Target="https://pl.wikipedia.org/wiki/C%C5%82o" TargetMode="External"/><Relationship Id="rId2" Type="http://schemas.openxmlformats.org/officeDocument/2006/relationships/styles" Target="styles.xml"/><Relationship Id="rId29" Type="http://schemas.openxmlformats.org/officeDocument/2006/relationships/hyperlink" Target="https://pl.wikipedia.org/wiki/Plik:Krzywa_poda%C5%BCy-przesuni%C4%99cie_po_krzywej.svg" TargetMode="External"/><Relationship Id="rId24" Type="http://schemas.openxmlformats.org/officeDocument/2006/relationships/hyperlink" Target="https://pl.wikipedia.org/wiki/Funkcja_rosn%C4%85ca" TargetMode="External"/><Relationship Id="rId40" Type="http://schemas.openxmlformats.org/officeDocument/2006/relationships/hyperlink" Target="https://pl.wikipedia.org/wiki/C%C5%82o" TargetMode="External"/><Relationship Id="rId45" Type="http://schemas.openxmlformats.org/officeDocument/2006/relationships/hyperlink" Target="https://pl.wikipedia.org/w/index.php?title=Sfera_bud%C5%BCetowa&amp;action=edit&amp;redlink=1" TargetMode="External"/><Relationship Id="rId66" Type="http://schemas.openxmlformats.org/officeDocument/2006/relationships/hyperlink" Target="https://pl.wikipedia.org/wiki/Emerytura" TargetMode="External"/><Relationship Id="rId87" Type="http://schemas.openxmlformats.org/officeDocument/2006/relationships/hyperlink" Target="https://pl.wikipedia.org/w/index.php?title=Bud%C5%BCet_maj%C4%85tkowy&amp;action=edit&amp;redlink=1" TargetMode="External"/><Relationship Id="rId110" Type="http://schemas.openxmlformats.org/officeDocument/2006/relationships/hyperlink" Target="https://pl.wikipedia.org/wiki/%C5%9Arodki_pieni%C4%99%C5%BCne" TargetMode="External"/><Relationship Id="rId115" Type="http://schemas.openxmlformats.org/officeDocument/2006/relationships/hyperlink" Target="https://pl.wikipedia.org/wiki/Polityka_pieni%C4%99%C5%BCna" TargetMode="External"/><Relationship Id="rId61" Type="http://schemas.openxmlformats.org/officeDocument/2006/relationships/hyperlink" Target="https://pl.wikipedia.org/wiki/W%C5%82adza_wykonawcza" TargetMode="External"/><Relationship Id="rId82" Type="http://schemas.openxmlformats.org/officeDocument/2006/relationships/hyperlink" Target="https://pl.wikipedia.org/w/index.php?title=Saldo_debetowe&amp;action=edit&amp;redlink=1" TargetMode="External"/><Relationship Id="rId19" Type="http://schemas.openxmlformats.org/officeDocument/2006/relationships/hyperlink" Target="https://pl.wikipedia.org/wiki/Mikroekonomia" TargetMode="External"/><Relationship Id="rId14" Type="http://schemas.openxmlformats.org/officeDocument/2006/relationships/hyperlink" Target="https://pl.wikipedia.org/wiki/Efekt_snoba" TargetMode="External"/><Relationship Id="rId30" Type="http://schemas.openxmlformats.org/officeDocument/2006/relationships/image" Target="media/image3.png"/><Relationship Id="rId35" Type="http://schemas.openxmlformats.org/officeDocument/2006/relationships/hyperlink" Target="https://pl.wikipedia.org/wiki/Rok" TargetMode="External"/><Relationship Id="rId56" Type="http://schemas.openxmlformats.org/officeDocument/2006/relationships/hyperlink" Target="https://pl.wikipedia.org/w/index.php?title=Organ_kontroli_pa%C5%84stwowej_i_ochrony_prawa&amp;action=edit&amp;redlink=1" TargetMode="External"/><Relationship Id="rId77" Type="http://schemas.openxmlformats.org/officeDocument/2006/relationships/hyperlink" Target="https://pl.wikipedia.org/wiki/Bud%C5%BCetowanie_netto" TargetMode="External"/><Relationship Id="rId100" Type="http://schemas.openxmlformats.org/officeDocument/2006/relationships/hyperlink" Target="https://pl.wikipedia.org/wiki/Makroekonomia" TargetMode="External"/><Relationship Id="rId105" Type="http://schemas.openxmlformats.org/officeDocument/2006/relationships/hyperlink" Target="https://pl.wikipedia.org/wiki/Konsumpcja" TargetMode="External"/><Relationship Id="rId8" Type="http://schemas.openxmlformats.org/officeDocument/2006/relationships/hyperlink" Target="https://pl.wikipedia.org/wiki/Cena_(ekonomia)" TargetMode="External"/><Relationship Id="rId51" Type="http://schemas.openxmlformats.org/officeDocument/2006/relationships/hyperlink" Target="https://pl.wikipedia.org/wiki/Mi%C4%99dzynarodowe_stosunki_gospodarcze" TargetMode="External"/><Relationship Id="rId72" Type="http://schemas.openxmlformats.org/officeDocument/2006/relationships/hyperlink" Target="https://pl.wikipedia.org/wiki/Podmiot_gospodarczy" TargetMode="External"/><Relationship Id="rId93" Type="http://schemas.openxmlformats.org/officeDocument/2006/relationships/hyperlink" Target="https://pl.wikipedia.org/wiki/Czynsz" TargetMode="External"/><Relationship Id="rId98" Type="http://schemas.openxmlformats.org/officeDocument/2006/relationships/hyperlink" Target="https://pl.wikipedia.org/wiki/Gospodarka_finansowa" TargetMode="External"/><Relationship Id="rId3" Type="http://schemas.openxmlformats.org/officeDocument/2006/relationships/settings" Target="settings.xml"/><Relationship Id="rId25" Type="http://schemas.openxmlformats.org/officeDocument/2006/relationships/hyperlink" Target="https://pl.wikipedia.org/wiki/Krzywa_popytu" TargetMode="External"/><Relationship Id="rId46" Type="http://schemas.openxmlformats.org/officeDocument/2006/relationships/hyperlink" Target="https://pl.wikipedia.org/wiki/Bank" TargetMode="External"/><Relationship Id="rId67" Type="http://schemas.openxmlformats.org/officeDocument/2006/relationships/hyperlink" Target="https://pl.wikipedia.org/wiki/Pomoc_publiczna" TargetMode="External"/><Relationship Id="rId116" Type="http://schemas.openxmlformats.org/officeDocument/2006/relationships/hyperlink" Target="https://pl.wikipedia.org/wiki/Bank_centralny" TargetMode="External"/><Relationship Id="rId20" Type="http://schemas.openxmlformats.org/officeDocument/2006/relationships/hyperlink" Target="https://pl.wikipedia.org/wiki/Dobra_(ekonomia)" TargetMode="External"/><Relationship Id="rId41" Type="http://schemas.openxmlformats.org/officeDocument/2006/relationships/hyperlink" Target="https://pl.wikipedia.org/wiki/Jednostka_bud%C5%BCetowa" TargetMode="External"/><Relationship Id="rId62" Type="http://schemas.openxmlformats.org/officeDocument/2006/relationships/hyperlink" Target="https://pl.wikipedia.org/wiki/W%C5%82adza_ustawodawcza" TargetMode="External"/><Relationship Id="rId83" Type="http://schemas.openxmlformats.org/officeDocument/2006/relationships/hyperlink" Target="https://pl.wikipedia.org/w/index.php?title=Saldo_kredytowe&amp;action=edit&amp;redlink=1" TargetMode="External"/><Relationship Id="rId88" Type="http://schemas.openxmlformats.org/officeDocument/2006/relationships/hyperlink" Target="https://pl.wikipedia.org/wiki/Klasyfikacja_bud%C5%BCetowa" TargetMode="External"/><Relationship Id="rId111" Type="http://schemas.openxmlformats.org/officeDocument/2006/relationships/hyperlink" Target="https://pl.wikipedia.org/wiki/Pasywa" TargetMode="External"/><Relationship Id="rId15" Type="http://schemas.openxmlformats.org/officeDocument/2006/relationships/hyperlink" Target="https://pl.wikipedia.org/wiki/Krzywa_poda%C5%BCy" TargetMode="External"/><Relationship Id="rId36" Type="http://schemas.openxmlformats.org/officeDocument/2006/relationships/hyperlink" Target="https://pl.wikipedia.org/wiki/Wielka_Brytania" TargetMode="External"/><Relationship Id="rId57" Type="http://schemas.openxmlformats.org/officeDocument/2006/relationships/hyperlink" Target="https://pl.wikipedia.org/wiki/Akt_normatywny" TargetMode="External"/><Relationship Id="rId106" Type="http://schemas.openxmlformats.org/officeDocument/2006/relationships/hyperlink" Target="https://pl.wikipedia.org/w/index.php?title=Wydatki_konsumpcyjne&amp;action=edit&amp;redlink=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9</Pages>
  <Words>3844</Words>
  <Characters>23070</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2020-11-14T11:50:00Z</dcterms:created>
  <dcterms:modified xsi:type="dcterms:W3CDTF">2020-11-14T12:07:00Z</dcterms:modified>
</cp:coreProperties>
</file>