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EB1" w:rsidRPr="00046EB1" w:rsidRDefault="00046EB1" w:rsidP="00046EB1">
      <w:pPr>
        <w:spacing w:before="100" w:beforeAutospacing="1" w:after="100" w:afterAutospacing="1" w:line="240" w:lineRule="auto"/>
        <w:jc w:val="both"/>
        <w:rPr>
          <w:rFonts w:ascii="Arial" w:eastAsia="Times New Roman" w:hAnsi="Arial" w:cs="Arial"/>
          <w:b/>
          <w:sz w:val="24"/>
          <w:szCs w:val="24"/>
          <w:lang w:eastAsia="pl-PL"/>
        </w:rPr>
      </w:pPr>
      <w:r w:rsidRPr="00046EB1">
        <w:rPr>
          <w:rFonts w:ascii="Arial" w:eastAsia="Times New Roman" w:hAnsi="Arial" w:cs="Arial"/>
          <w:b/>
          <w:sz w:val="24"/>
          <w:szCs w:val="24"/>
          <w:lang w:eastAsia="pl-PL"/>
        </w:rPr>
        <w:t>ROZLICZENIA FINANSOWE PRZEDSIEBIORSTW</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u w:val="single"/>
          <w:lang w:eastAsia="pl-PL"/>
        </w:rPr>
      </w:pPr>
      <w:r w:rsidRPr="00046EB1">
        <w:rPr>
          <w:rFonts w:ascii="Arial" w:hAnsi="Arial" w:cs="Arial"/>
          <w:sz w:val="24"/>
          <w:szCs w:val="24"/>
          <w:u w:val="single"/>
        </w:rPr>
        <w:t>FORMY OPODATKOWANIA DZIAŁALNOŚCI PODATKIEM DOCHODOWYM OD OSÓB FIZYCZNYCH</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hyperlink r:id="rId6" w:tooltip="Osoba fizyczna" w:history="1">
        <w:r w:rsidRPr="00046EB1">
          <w:rPr>
            <w:rFonts w:ascii="Arial" w:eastAsia="Times New Roman" w:hAnsi="Arial" w:cs="Arial"/>
            <w:sz w:val="24"/>
            <w:szCs w:val="24"/>
            <w:lang w:eastAsia="pl-PL"/>
          </w:rPr>
          <w:t>Osoby fizyczne</w:t>
        </w:r>
      </w:hyperlink>
      <w:r w:rsidRPr="00046EB1">
        <w:rPr>
          <w:rFonts w:ascii="Arial" w:eastAsia="Times New Roman" w:hAnsi="Arial" w:cs="Arial"/>
          <w:sz w:val="24"/>
          <w:szCs w:val="24"/>
          <w:lang w:eastAsia="pl-PL"/>
        </w:rPr>
        <w:t xml:space="preserve"> mają do wyboru 4 formy </w:t>
      </w:r>
      <w:hyperlink r:id="rId7" w:tooltip="Podstawa opodatkowania" w:history="1">
        <w:r w:rsidRPr="00046EB1">
          <w:rPr>
            <w:rFonts w:ascii="Arial" w:eastAsia="Times New Roman" w:hAnsi="Arial" w:cs="Arial"/>
            <w:sz w:val="24"/>
            <w:szCs w:val="24"/>
            <w:lang w:eastAsia="pl-PL"/>
          </w:rPr>
          <w:t>opodatkowania</w:t>
        </w:r>
      </w:hyperlink>
      <w:r w:rsidRPr="00046EB1">
        <w:rPr>
          <w:rFonts w:ascii="Arial" w:eastAsia="Times New Roman" w:hAnsi="Arial" w:cs="Arial"/>
          <w:sz w:val="24"/>
          <w:szCs w:val="24"/>
          <w:lang w:eastAsia="pl-PL"/>
        </w:rPr>
        <w:t xml:space="preserve"> swoich </w:t>
      </w:r>
      <w:hyperlink r:id="rId8" w:tooltip="Dochód" w:history="1">
        <w:r w:rsidRPr="00046EB1">
          <w:rPr>
            <w:rFonts w:ascii="Arial" w:eastAsia="Times New Roman" w:hAnsi="Arial" w:cs="Arial"/>
            <w:sz w:val="24"/>
            <w:szCs w:val="24"/>
            <w:lang w:eastAsia="pl-PL"/>
          </w:rPr>
          <w:t>dochodów</w:t>
        </w:r>
      </w:hyperlink>
      <w:r w:rsidRPr="00046EB1">
        <w:rPr>
          <w:rFonts w:ascii="Arial" w:eastAsia="Times New Roman" w:hAnsi="Arial" w:cs="Arial"/>
          <w:sz w:val="24"/>
          <w:szCs w:val="24"/>
          <w:lang w:eastAsia="pl-PL"/>
        </w:rPr>
        <w:t xml:space="preserve"> z </w:t>
      </w:r>
      <w:hyperlink r:id="rId9" w:tooltip="Działalność gospodarcza" w:history="1">
        <w:r w:rsidRPr="00046EB1">
          <w:rPr>
            <w:rFonts w:ascii="Arial" w:eastAsia="Times New Roman" w:hAnsi="Arial" w:cs="Arial"/>
            <w:sz w:val="24"/>
            <w:szCs w:val="24"/>
            <w:lang w:eastAsia="pl-PL"/>
          </w:rPr>
          <w:t>działalności gospodarczej</w:t>
        </w:r>
      </w:hyperlink>
      <w:r w:rsidRPr="00046EB1">
        <w:rPr>
          <w:rFonts w:ascii="Arial" w:eastAsia="Times New Roman" w:hAnsi="Arial" w:cs="Arial"/>
          <w:sz w:val="24"/>
          <w:szCs w:val="24"/>
          <w:lang w:eastAsia="pl-PL"/>
        </w:rPr>
        <w:t xml:space="preserve">: </w:t>
      </w:r>
    </w:p>
    <w:p w:rsidR="00046EB1" w:rsidRPr="00046EB1" w:rsidRDefault="00046EB1" w:rsidP="00046EB1">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opodatkowanie na zasadach ogólnych (przy zastosowaniu progresywnej skali podatkowej 18% i 32%)</w:t>
      </w:r>
    </w:p>
    <w:p w:rsidR="00046EB1" w:rsidRPr="00046EB1" w:rsidRDefault="00046EB1" w:rsidP="00046EB1">
      <w:pPr>
        <w:numPr>
          <w:ilvl w:val="0"/>
          <w:numId w:val="1"/>
        </w:numPr>
        <w:spacing w:before="100" w:beforeAutospacing="1" w:after="100" w:afterAutospacing="1" w:line="240" w:lineRule="auto"/>
        <w:jc w:val="both"/>
        <w:rPr>
          <w:rFonts w:ascii="Arial" w:eastAsia="Times New Roman" w:hAnsi="Arial" w:cs="Arial"/>
          <w:sz w:val="24"/>
          <w:szCs w:val="24"/>
          <w:lang w:eastAsia="pl-PL"/>
        </w:rPr>
      </w:pPr>
      <w:hyperlink r:id="rId10" w:tooltip="Podatek" w:history="1">
        <w:r w:rsidRPr="00046EB1">
          <w:rPr>
            <w:rFonts w:ascii="Arial" w:eastAsia="Times New Roman" w:hAnsi="Arial" w:cs="Arial"/>
            <w:sz w:val="24"/>
            <w:szCs w:val="24"/>
            <w:lang w:eastAsia="pl-PL"/>
          </w:rPr>
          <w:t>podatek</w:t>
        </w:r>
      </w:hyperlink>
      <w:r w:rsidRPr="00046EB1">
        <w:rPr>
          <w:rFonts w:ascii="Arial" w:eastAsia="Times New Roman" w:hAnsi="Arial" w:cs="Arial"/>
          <w:sz w:val="24"/>
          <w:szCs w:val="24"/>
          <w:lang w:eastAsia="pl-PL"/>
        </w:rPr>
        <w:t xml:space="preserve"> liniowy 19%,</w:t>
      </w:r>
    </w:p>
    <w:p w:rsidR="00046EB1" w:rsidRPr="00046EB1" w:rsidRDefault="00046EB1" w:rsidP="00046EB1">
      <w:pPr>
        <w:numPr>
          <w:ilvl w:val="0"/>
          <w:numId w:val="1"/>
        </w:numPr>
        <w:spacing w:before="100" w:beforeAutospacing="1" w:after="100" w:afterAutospacing="1" w:line="240" w:lineRule="auto"/>
        <w:jc w:val="both"/>
        <w:rPr>
          <w:rFonts w:ascii="Arial" w:eastAsia="Times New Roman" w:hAnsi="Arial" w:cs="Arial"/>
          <w:sz w:val="24"/>
          <w:szCs w:val="24"/>
          <w:lang w:eastAsia="pl-PL"/>
        </w:rPr>
      </w:pPr>
      <w:hyperlink r:id="rId11" w:tooltip="Ryczałt od przychodów ewidencjonowanych" w:history="1">
        <w:r w:rsidRPr="00046EB1">
          <w:rPr>
            <w:rFonts w:ascii="Arial" w:eastAsia="Times New Roman" w:hAnsi="Arial" w:cs="Arial"/>
            <w:sz w:val="24"/>
            <w:szCs w:val="24"/>
            <w:lang w:eastAsia="pl-PL"/>
          </w:rPr>
          <w:t>ryczałt od przychodów ewidencjonowanych</w:t>
        </w:r>
      </w:hyperlink>
    </w:p>
    <w:p w:rsidR="00046EB1" w:rsidRPr="00046EB1" w:rsidRDefault="00046EB1" w:rsidP="00046EB1">
      <w:pPr>
        <w:numPr>
          <w:ilvl w:val="0"/>
          <w:numId w:val="1"/>
        </w:numPr>
        <w:spacing w:before="100" w:beforeAutospacing="1" w:after="100" w:afterAutospacing="1" w:line="240" w:lineRule="auto"/>
        <w:jc w:val="both"/>
        <w:rPr>
          <w:rFonts w:ascii="Arial" w:eastAsia="Times New Roman" w:hAnsi="Arial" w:cs="Arial"/>
          <w:sz w:val="24"/>
          <w:szCs w:val="24"/>
          <w:lang w:eastAsia="pl-PL"/>
        </w:rPr>
      </w:pPr>
      <w:hyperlink r:id="rId12" w:tooltip="Karta podatkowa" w:history="1">
        <w:r w:rsidRPr="00046EB1">
          <w:rPr>
            <w:rFonts w:ascii="Arial" w:eastAsia="Times New Roman" w:hAnsi="Arial" w:cs="Arial"/>
            <w:sz w:val="24"/>
            <w:szCs w:val="24"/>
            <w:lang w:eastAsia="pl-PL"/>
          </w:rPr>
          <w:t>kartę podatkową</w:t>
        </w:r>
      </w:hyperlink>
      <w:r w:rsidRPr="00046EB1">
        <w:rPr>
          <w:rFonts w:ascii="Arial" w:eastAsia="Times New Roman" w:hAnsi="Arial" w:cs="Arial"/>
          <w:sz w:val="24"/>
          <w:szCs w:val="24"/>
          <w:lang w:eastAsia="pl-PL"/>
        </w:rPr>
        <w:t>.</w:t>
      </w:r>
    </w:p>
    <w:p w:rsidR="00046EB1" w:rsidRPr="00046EB1" w:rsidRDefault="00046EB1" w:rsidP="00046EB1">
      <w:pPr>
        <w:spacing w:before="100" w:beforeAutospacing="1" w:after="100" w:afterAutospacing="1" w:line="240" w:lineRule="auto"/>
        <w:jc w:val="both"/>
        <w:outlineLvl w:val="1"/>
        <w:rPr>
          <w:rFonts w:ascii="Arial" w:eastAsia="Times New Roman" w:hAnsi="Arial" w:cs="Arial"/>
          <w:bCs/>
          <w:sz w:val="24"/>
          <w:szCs w:val="24"/>
          <w:lang w:eastAsia="pl-PL"/>
        </w:rPr>
      </w:pPr>
      <w:r w:rsidRPr="00046EB1">
        <w:rPr>
          <w:rFonts w:ascii="Arial" w:eastAsia="Times New Roman" w:hAnsi="Arial" w:cs="Arial"/>
          <w:bCs/>
          <w:sz w:val="24"/>
          <w:szCs w:val="24"/>
          <w:lang w:eastAsia="pl-PL"/>
        </w:rPr>
        <w:t>Wybór formy opodatkowania</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Wybór formy opodatkowania obowiązuje przez rok. Istnieje możliwość zmiany formy opodatkowania wyłącznie na początku następnego roku poprzez dostarczenie odpowiedniego oświadczenia do urzędu skarbowego. Podczas wyboru odpowiedniej formy opodatkowania działalności gospodarczej, </w:t>
      </w:r>
      <w:hyperlink r:id="rId13" w:tooltip="Podatnik" w:history="1">
        <w:r w:rsidRPr="00046EB1">
          <w:rPr>
            <w:rFonts w:ascii="Arial" w:eastAsia="Times New Roman" w:hAnsi="Arial" w:cs="Arial"/>
            <w:sz w:val="24"/>
            <w:szCs w:val="24"/>
            <w:lang w:eastAsia="pl-PL"/>
          </w:rPr>
          <w:t>podatnik</w:t>
        </w:r>
      </w:hyperlink>
      <w:r w:rsidRPr="00046EB1">
        <w:rPr>
          <w:rFonts w:ascii="Arial" w:eastAsia="Times New Roman" w:hAnsi="Arial" w:cs="Arial"/>
          <w:sz w:val="24"/>
          <w:szCs w:val="24"/>
          <w:lang w:eastAsia="pl-PL"/>
        </w:rPr>
        <w:t xml:space="preserve"> powinien przeanalizować wady i zalety wybranej formy, która zapewni mu największy </w:t>
      </w:r>
      <w:hyperlink r:id="rId14" w:tooltip="Dochód netto" w:history="1">
        <w:r w:rsidRPr="00046EB1">
          <w:rPr>
            <w:rFonts w:ascii="Arial" w:eastAsia="Times New Roman" w:hAnsi="Arial" w:cs="Arial"/>
            <w:sz w:val="24"/>
            <w:szCs w:val="24"/>
            <w:lang w:eastAsia="pl-PL"/>
          </w:rPr>
          <w:t>dochód netto</w:t>
        </w:r>
      </w:hyperlink>
      <w:r w:rsidRPr="00046EB1">
        <w:rPr>
          <w:rFonts w:ascii="Arial" w:eastAsia="Times New Roman" w:hAnsi="Arial" w:cs="Arial"/>
          <w:sz w:val="24"/>
          <w:szCs w:val="24"/>
          <w:lang w:eastAsia="pl-PL"/>
        </w:rPr>
        <w:t xml:space="preserve">. Można również przeprowadzić analizę porównawczą obciążeń podatkowych z uwzględnieniem poszczególnych form opodatkowania, jak zostało to zaprezentowane w </w:t>
      </w:r>
      <w:hyperlink r:id="rId15" w:tgtFrame="_blank" w:history="1">
        <w:r w:rsidRPr="00046EB1">
          <w:rPr>
            <w:rFonts w:ascii="Arial" w:eastAsia="Times New Roman" w:hAnsi="Arial" w:cs="Arial"/>
            <w:sz w:val="24"/>
            <w:szCs w:val="24"/>
            <w:lang w:eastAsia="pl-PL"/>
          </w:rPr>
          <w:t>Wybór formy opodatkowania dochodu mikroprzedsiębiorstw jako metoda optymalizacji podatkowej</w:t>
        </w:r>
      </w:hyperlink>
      <w:r w:rsidRPr="00046EB1">
        <w:rPr>
          <w:rFonts w:ascii="Arial" w:eastAsia="Times New Roman" w:hAnsi="Arial" w:cs="Arial"/>
          <w:sz w:val="24"/>
          <w:szCs w:val="24"/>
          <w:lang w:eastAsia="pl-PL"/>
        </w:rPr>
        <w:t xml:space="preserve">.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Wybór formy opodatkowania zależy m.in. od: </w:t>
      </w:r>
    </w:p>
    <w:p w:rsidR="00046EB1" w:rsidRPr="00046EB1" w:rsidRDefault="00046EB1" w:rsidP="00046EB1">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formy organizacyjno-prawnej prowadzonej działalności,</w:t>
      </w:r>
    </w:p>
    <w:p w:rsidR="00046EB1" w:rsidRPr="00046EB1" w:rsidRDefault="00046EB1" w:rsidP="00046EB1">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skali i rodzaju działalności,</w:t>
      </w:r>
    </w:p>
    <w:p w:rsidR="00046EB1" w:rsidRPr="00046EB1" w:rsidRDefault="00046EB1" w:rsidP="00046EB1">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wielkości zatrudnienia pracowników,</w:t>
      </w:r>
    </w:p>
    <w:p w:rsidR="0028312E" w:rsidRPr="00046EB1" w:rsidRDefault="00046EB1" w:rsidP="00046EB1">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wysokości przychodów.</w:t>
      </w:r>
    </w:p>
    <w:p w:rsidR="00046EB1" w:rsidRPr="00046EB1" w:rsidRDefault="00046EB1" w:rsidP="00046EB1">
      <w:pPr>
        <w:jc w:val="both"/>
        <w:rPr>
          <w:rFonts w:ascii="Arial" w:hAnsi="Arial" w:cs="Arial"/>
          <w:sz w:val="24"/>
          <w:szCs w:val="24"/>
        </w:rPr>
      </w:pPr>
    </w:p>
    <w:p w:rsidR="00046EB1" w:rsidRPr="00046EB1" w:rsidRDefault="00046EB1" w:rsidP="00046EB1">
      <w:pPr>
        <w:spacing w:before="100" w:beforeAutospacing="1" w:after="100" w:afterAutospacing="1" w:line="240" w:lineRule="auto"/>
        <w:jc w:val="both"/>
        <w:outlineLvl w:val="1"/>
        <w:rPr>
          <w:rFonts w:ascii="Arial" w:eastAsia="Times New Roman" w:hAnsi="Arial" w:cs="Arial"/>
          <w:bCs/>
          <w:sz w:val="24"/>
          <w:szCs w:val="24"/>
          <w:lang w:eastAsia="pl-PL"/>
        </w:rPr>
      </w:pPr>
      <w:r w:rsidRPr="00046EB1">
        <w:rPr>
          <w:rFonts w:ascii="Arial" w:eastAsia="Times New Roman" w:hAnsi="Arial" w:cs="Arial"/>
          <w:bCs/>
          <w:sz w:val="24"/>
          <w:szCs w:val="24"/>
          <w:lang w:eastAsia="pl-PL"/>
        </w:rPr>
        <w:t>Opodatkowanie na zasadach ogólnych</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Opodatkowanie na zasadach ogólnych dotyczy opodatkowania podatkiem dochodowym działalności gospodarczej prowadzonej przez osobę fizyczną. Przedmiotem opodatkowania jest </w:t>
      </w:r>
      <w:hyperlink r:id="rId16" w:tooltip="Dochód" w:history="1">
        <w:r w:rsidRPr="00046EB1">
          <w:rPr>
            <w:rFonts w:ascii="Arial" w:eastAsia="Times New Roman" w:hAnsi="Arial" w:cs="Arial"/>
            <w:sz w:val="24"/>
            <w:szCs w:val="24"/>
            <w:lang w:eastAsia="pl-PL"/>
          </w:rPr>
          <w:t>dochód</w:t>
        </w:r>
      </w:hyperlink>
      <w:r w:rsidRPr="00046EB1">
        <w:rPr>
          <w:rFonts w:ascii="Arial" w:eastAsia="Times New Roman" w:hAnsi="Arial" w:cs="Arial"/>
          <w:sz w:val="24"/>
          <w:szCs w:val="24"/>
          <w:lang w:eastAsia="pl-PL"/>
        </w:rPr>
        <w:t xml:space="preserve"> (różnica między przychodami a kosztami ich uzyskania). Stawka podatkowa (18% i 32%) jest uzależniona od wysokości uzyskanego dochodu.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Cechy opodatkowania ogólnego: </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prowadzenie ewidencji podatkowej (księga przychodów i rozchodów, księga rachunkowa), zatrudnienia, kart przychodów pracowników, wyposażenia, środków trwałych, wartości niematerialnych i prawnych,</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uwzględnienie kosztów uzyskania przychodu,</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hyperlink r:id="rId17" w:tooltip="Obowiązek" w:history="1">
        <w:r w:rsidRPr="00046EB1">
          <w:rPr>
            <w:rFonts w:ascii="Arial" w:eastAsia="Times New Roman" w:hAnsi="Arial" w:cs="Arial"/>
            <w:sz w:val="24"/>
            <w:szCs w:val="24"/>
            <w:lang w:eastAsia="pl-PL"/>
          </w:rPr>
          <w:t>obowiązek</w:t>
        </w:r>
      </w:hyperlink>
      <w:r w:rsidRPr="00046EB1">
        <w:rPr>
          <w:rFonts w:ascii="Arial" w:eastAsia="Times New Roman" w:hAnsi="Arial" w:cs="Arial"/>
          <w:sz w:val="24"/>
          <w:szCs w:val="24"/>
          <w:lang w:eastAsia="pl-PL"/>
        </w:rPr>
        <w:t xml:space="preserve"> składania deklaracji i zeznań rocznych,</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lastRenderedPageBreak/>
        <w:t>zastosowane ulg i odliczeń majątkowych.</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możliwość odliczenia kwoty wolnej od podatku,</w:t>
      </w:r>
    </w:p>
    <w:p w:rsidR="00046EB1" w:rsidRPr="00046EB1" w:rsidRDefault="00046EB1" w:rsidP="00046EB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miesięczne lub kwartalne rozliczanie zaliczek na </w:t>
      </w:r>
      <w:hyperlink r:id="rId18" w:tooltip="Podatek dochodowy" w:history="1">
        <w:r w:rsidRPr="00046EB1">
          <w:rPr>
            <w:rFonts w:ascii="Arial" w:eastAsia="Times New Roman" w:hAnsi="Arial" w:cs="Arial"/>
            <w:sz w:val="24"/>
            <w:szCs w:val="24"/>
            <w:lang w:eastAsia="pl-PL"/>
          </w:rPr>
          <w:t>podatek dochodowy</w:t>
        </w:r>
      </w:hyperlink>
      <w:r w:rsidRPr="00046EB1">
        <w:rPr>
          <w:rFonts w:ascii="Arial" w:eastAsia="Times New Roman" w:hAnsi="Arial" w:cs="Arial"/>
          <w:sz w:val="24"/>
          <w:szCs w:val="24"/>
          <w:lang w:eastAsia="pl-PL"/>
        </w:rPr>
        <w:t>,</w:t>
      </w:r>
    </w:p>
    <w:p w:rsidR="00046EB1" w:rsidRPr="00046EB1" w:rsidRDefault="00046EB1" w:rsidP="00F96AF5">
      <w:pPr>
        <w:numPr>
          <w:ilvl w:val="0"/>
          <w:numId w:val="3"/>
        </w:numPr>
        <w:spacing w:before="100" w:beforeAutospacing="1" w:after="100" w:afterAutospacing="1" w:line="240" w:lineRule="auto"/>
        <w:jc w:val="both"/>
        <w:outlineLvl w:val="1"/>
        <w:rPr>
          <w:rFonts w:ascii="Arial" w:eastAsia="Times New Roman" w:hAnsi="Arial" w:cs="Arial"/>
          <w:bCs/>
          <w:sz w:val="24"/>
          <w:szCs w:val="24"/>
          <w:lang w:eastAsia="pl-PL"/>
        </w:rPr>
      </w:pPr>
      <w:hyperlink r:id="rId19" w:tooltip="Opcja" w:history="1">
        <w:r w:rsidRPr="00046EB1">
          <w:rPr>
            <w:rFonts w:ascii="Arial" w:eastAsia="Times New Roman" w:hAnsi="Arial" w:cs="Arial"/>
            <w:sz w:val="24"/>
            <w:szCs w:val="24"/>
            <w:lang w:eastAsia="pl-PL"/>
          </w:rPr>
          <w:t>opcja</w:t>
        </w:r>
      </w:hyperlink>
      <w:r w:rsidRPr="00046EB1">
        <w:rPr>
          <w:rFonts w:ascii="Arial" w:eastAsia="Times New Roman" w:hAnsi="Arial" w:cs="Arial"/>
          <w:sz w:val="24"/>
          <w:szCs w:val="24"/>
          <w:lang w:eastAsia="pl-PL"/>
        </w:rPr>
        <w:t xml:space="preserve"> wspólnego rozliczania z małżonkiem lub dzieckiem. </w:t>
      </w:r>
    </w:p>
    <w:p w:rsidR="00046EB1" w:rsidRDefault="00046EB1" w:rsidP="00046EB1">
      <w:pPr>
        <w:spacing w:before="100" w:beforeAutospacing="1" w:after="100" w:afterAutospacing="1" w:line="240" w:lineRule="auto"/>
        <w:jc w:val="both"/>
        <w:outlineLvl w:val="1"/>
        <w:rPr>
          <w:rFonts w:ascii="Arial" w:eastAsia="Times New Roman" w:hAnsi="Arial" w:cs="Arial"/>
          <w:sz w:val="24"/>
          <w:szCs w:val="24"/>
          <w:lang w:eastAsia="pl-PL"/>
        </w:rPr>
      </w:pPr>
    </w:p>
    <w:p w:rsidR="00046EB1" w:rsidRPr="00046EB1" w:rsidRDefault="00046EB1" w:rsidP="00046EB1">
      <w:pPr>
        <w:spacing w:before="100" w:beforeAutospacing="1" w:after="100" w:afterAutospacing="1" w:line="240" w:lineRule="auto"/>
        <w:jc w:val="both"/>
        <w:outlineLvl w:val="1"/>
        <w:rPr>
          <w:rFonts w:ascii="Arial" w:eastAsia="Times New Roman" w:hAnsi="Arial" w:cs="Arial"/>
          <w:bCs/>
          <w:sz w:val="24"/>
          <w:szCs w:val="24"/>
          <w:lang w:eastAsia="pl-PL"/>
        </w:rPr>
      </w:pPr>
      <w:r w:rsidRPr="00046EB1">
        <w:rPr>
          <w:rFonts w:ascii="Arial" w:eastAsia="Times New Roman" w:hAnsi="Arial" w:cs="Arial"/>
          <w:bCs/>
          <w:sz w:val="24"/>
          <w:szCs w:val="24"/>
          <w:lang w:eastAsia="pl-PL"/>
        </w:rPr>
        <w:t>Podatek liniowy 19%</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Podatek liniowy stosowany dla wszystkich form działalności gospodarczej. Przedmiotem opodatkowania jest dochód. Niezależnie od jego wysokości stawka podatkowa wynosi 19%. Wybór takiej formy opodatkowania wymaga złożenia odpowiedniego oświadczenia w urzędzie skarbowym.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Cechy podatku liniowego: </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przedmiotem opodatkowania jest dochód,</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jednolita stawka podatku 19%,</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obowiązek ewidencji księgowej (na zasadach opodatkowania ogólnego),</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uwzględnienie kosztów uzyskania przychodu,</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miesięczne lub kwartalne rozliczanie zaliczek na podatek dochodowy,</w:t>
      </w:r>
    </w:p>
    <w:p w:rsidR="00046EB1" w:rsidRPr="00046EB1" w:rsidRDefault="00046EB1" w:rsidP="00046EB1">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możliwości korzystania z ulg podatkowych.</w:t>
      </w:r>
    </w:p>
    <w:p w:rsidR="00046EB1" w:rsidRPr="00046EB1" w:rsidRDefault="00046EB1" w:rsidP="00046EB1">
      <w:pPr>
        <w:spacing w:before="100" w:beforeAutospacing="1" w:after="100" w:afterAutospacing="1" w:line="240" w:lineRule="auto"/>
        <w:jc w:val="both"/>
        <w:outlineLvl w:val="1"/>
        <w:rPr>
          <w:rFonts w:ascii="Arial" w:eastAsia="Times New Roman" w:hAnsi="Arial" w:cs="Arial"/>
          <w:bCs/>
          <w:sz w:val="24"/>
          <w:szCs w:val="24"/>
          <w:lang w:eastAsia="pl-PL"/>
        </w:rPr>
      </w:pPr>
      <w:r w:rsidRPr="00046EB1">
        <w:rPr>
          <w:rFonts w:ascii="Arial" w:eastAsia="Times New Roman" w:hAnsi="Arial" w:cs="Arial"/>
          <w:bCs/>
          <w:sz w:val="24"/>
          <w:szCs w:val="24"/>
          <w:lang w:eastAsia="pl-PL"/>
        </w:rPr>
        <w:t>Ryczałt od przychodów ewidencjonowanych</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Zasady korzystania z tej formy opodatkowania zostały uregulowane w ustawie o zryczałtowanym podatku dochodowym od przychodów osób fizycznych. (</w:t>
      </w:r>
      <w:hyperlink r:id="rId20" w:tgtFrame="_blank" w:history="1">
        <w:r w:rsidRPr="00046EB1">
          <w:rPr>
            <w:rFonts w:ascii="Arial" w:eastAsia="Times New Roman" w:hAnsi="Arial" w:cs="Arial"/>
            <w:sz w:val="24"/>
            <w:szCs w:val="24"/>
            <w:lang w:eastAsia="pl-PL"/>
          </w:rPr>
          <w:t>Dz.U. 1998 nr 144, poz. 930</w:t>
        </w:r>
      </w:hyperlink>
      <w:r w:rsidRPr="00046EB1">
        <w:rPr>
          <w:rFonts w:ascii="Arial" w:eastAsia="Times New Roman" w:hAnsi="Arial" w:cs="Arial"/>
          <w:sz w:val="24"/>
          <w:szCs w:val="24"/>
          <w:lang w:eastAsia="pl-PL"/>
        </w:rPr>
        <w:t xml:space="preserve">. Stawki ryczałtu mają charakter liniowy i są niejednolite, zależą od charakteru prowadzonej działalności.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Zgodnie z art. 6 </w:t>
      </w:r>
      <w:proofErr w:type="spellStart"/>
      <w:r w:rsidRPr="00046EB1">
        <w:rPr>
          <w:rFonts w:ascii="Arial" w:eastAsia="Times New Roman" w:hAnsi="Arial" w:cs="Arial"/>
          <w:sz w:val="24"/>
          <w:szCs w:val="24"/>
          <w:lang w:eastAsia="pl-PL"/>
        </w:rPr>
        <w:t>u.z.p.d.o.f</w:t>
      </w:r>
      <w:proofErr w:type="spellEnd"/>
      <w:r w:rsidRPr="00046EB1">
        <w:rPr>
          <w:rFonts w:ascii="Arial" w:eastAsia="Times New Roman" w:hAnsi="Arial" w:cs="Arial"/>
          <w:sz w:val="24"/>
          <w:szCs w:val="24"/>
          <w:lang w:eastAsia="pl-PL"/>
        </w:rPr>
        <w:t xml:space="preserve"> opodatkowaniu ryczałtem od przychodów ewidencyjnych podlegają m.in.: </w:t>
      </w:r>
    </w:p>
    <w:p w:rsidR="00046EB1" w:rsidRPr="00046EB1" w:rsidRDefault="00046EB1" w:rsidP="00046EB1">
      <w:pPr>
        <w:numPr>
          <w:ilvl w:val="0"/>
          <w:numId w:val="5"/>
        </w:numPr>
        <w:spacing w:before="100" w:beforeAutospacing="1" w:after="100" w:afterAutospacing="1" w:line="240" w:lineRule="auto"/>
        <w:jc w:val="both"/>
        <w:rPr>
          <w:rFonts w:ascii="Arial" w:eastAsia="Times New Roman" w:hAnsi="Arial" w:cs="Arial"/>
          <w:sz w:val="24"/>
          <w:szCs w:val="24"/>
          <w:lang w:eastAsia="pl-PL"/>
        </w:rPr>
      </w:pPr>
      <w:hyperlink r:id="rId21" w:tooltip="Przychody" w:history="1">
        <w:r w:rsidRPr="00046EB1">
          <w:rPr>
            <w:rFonts w:ascii="Arial" w:eastAsia="Times New Roman" w:hAnsi="Arial" w:cs="Arial"/>
            <w:sz w:val="24"/>
            <w:szCs w:val="24"/>
            <w:lang w:eastAsia="pl-PL"/>
          </w:rPr>
          <w:t>przychody</w:t>
        </w:r>
      </w:hyperlink>
      <w:r w:rsidRPr="00046EB1">
        <w:rPr>
          <w:rFonts w:ascii="Arial" w:eastAsia="Times New Roman" w:hAnsi="Arial" w:cs="Arial"/>
          <w:sz w:val="24"/>
          <w:szCs w:val="24"/>
          <w:lang w:eastAsia="pl-PL"/>
        </w:rPr>
        <w:t xml:space="preserve"> osób fizycznych prowadzących działalność (jednoosobową) jak i w formie spółki cywilnej osób fizycznych jak i spółki jawnej osób fizycznych,</w:t>
      </w:r>
    </w:p>
    <w:p w:rsidR="00046EB1" w:rsidRPr="00046EB1" w:rsidRDefault="00046EB1" w:rsidP="00046EB1">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przychody z tytułu najmu, podnajmu, dzierżawy, poddzierżawy lub innych umów o podobnym charakterze.</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Cechy opodatkowania ryczałtem od przychodów ewidencjonowanych: </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ksiąg rachunkowych oraz podatkowej księgi przychodów i rozchodów,</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wysokość podatku zależna od przychodu,</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opcja korzystania z ulg podatkowych,</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miesięczne lub kwartalne rozliczenie zaliczek na podatek dochodowy,</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podatnik musi posiadać i przechowywać dowody zakupu </w:t>
      </w:r>
      <w:hyperlink r:id="rId22" w:tooltip="Towarów" w:history="1">
        <w:r w:rsidRPr="00046EB1">
          <w:rPr>
            <w:rFonts w:ascii="Arial" w:eastAsia="Times New Roman" w:hAnsi="Arial" w:cs="Arial"/>
            <w:sz w:val="24"/>
            <w:szCs w:val="24"/>
            <w:lang w:eastAsia="pl-PL"/>
          </w:rPr>
          <w:t>towarów</w:t>
        </w:r>
      </w:hyperlink>
      <w:r w:rsidRPr="00046EB1">
        <w:rPr>
          <w:rFonts w:ascii="Arial" w:eastAsia="Times New Roman" w:hAnsi="Arial" w:cs="Arial"/>
          <w:sz w:val="24"/>
          <w:szCs w:val="24"/>
          <w:lang w:eastAsia="pl-PL"/>
        </w:rPr>
        <w:t>,</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podatnik prowadzi ewidencję przychodów, wyposażenia, wykaz środków trwałych i wartości niematerialnych i prawnych,</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forma skierowana do wybranych rodzajów działalności gospodarczej,</w:t>
      </w:r>
    </w:p>
    <w:p w:rsidR="00046EB1" w:rsidRPr="00046EB1" w:rsidRDefault="00046EB1" w:rsidP="00046EB1">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złożenie odpowiedniego oświadczenia o wyborze tej formy opodatkowania w urzędzie skarbowym.</w:t>
      </w:r>
    </w:p>
    <w:p w:rsidR="00046EB1" w:rsidRPr="00046EB1" w:rsidRDefault="00046EB1" w:rsidP="00046EB1">
      <w:pPr>
        <w:spacing w:before="100" w:beforeAutospacing="1" w:after="100" w:afterAutospacing="1" w:line="240" w:lineRule="auto"/>
        <w:jc w:val="both"/>
        <w:outlineLvl w:val="1"/>
        <w:rPr>
          <w:rFonts w:ascii="Arial" w:eastAsia="Times New Roman" w:hAnsi="Arial" w:cs="Arial"/>
          <w:bCs/>
          <w:sz w:val="24"/>
          <w:szCs w:val="24"/>
          <w:lang w:eastAsia="pl-PL"/>
        </w:rPr>
      </w:pPr>
      <w:r w:rsidRPr="00046EB1">
        <w:rPr>
          <w:rFonts w:ascii="Arial" w:eastAsia="Times New Roman" w:hAnsi="Arial" w:cs="Arial"/>
          <w:bCs/>
          <w:sz w:val="24"/>
          <w:szCs w:val="24"/>
          <w:lang w:eastAsia="pl-PL"/>
        </w:rPr>
        <w:lastRenderedPageBreak/>
        <w:t>Karta podatkowa</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Zasady korzystania z tej formy opodatkowania zostały uregulowane w odrębnej ustawie o ryczałcie z dnia 20 listopada 1998 r.(</w:t>
      </w:r>
      <w:hyperlink r:id="rId23" w:tgtFrame="_blank" w:history="1">
        <w:r w:rsidRPr="00046EB1">
          <w:rPr>
            <w:rFonts w:ascii="Arial" w:eastAsia="Times New Roman" w:hAnsi="Arial" w:cs="Arial"/>
            <w:sz w:val="24"/>
            <w:szCs w:val="24"/>
            <w:lang w:eastAsia="pl-PL"/>
          </w:rPr>
          <w:t>Dz.U. 1998 nr 144, poz. 930</w:t>
        </w:r>
      </w:hyperlink>
      <w:r w:rsidRPr="00046EB1">
        <w:rPr>
          <w:rFonts w:ascii="Arial" w:eastAsia="Times New Roman" w:hAnsi="Arial" w:cs="Arial"/>
          <w:sz w:val="24"/>
          <w:szCs w:val="24"/>
          <w:lang w:eastAsia="pl-PL"/>
        </w:rPr>
        <w:t xml:space="preserve">). Karta podatkowa jest najprostszą formą opodatkowania podatkiem dochodowym.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Mogą z niej korzystać: </w:t>
      </w:r>
    </w:p>
    <w:p w:rsidR="00046EB1" w:rsidRPr="00046EB1" w:rsidRDefault="00046EB1" w:rsidP="00046EB1">
      <w:pPr>
        <w:numPr>
          <w:ilvl w:val="0"/>
          <w:numId w:val="7"/>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osoby fizyczne prowadzące działalność gospodarczą,</w:t>
      </w:r>
    </w:p>
    <w:p w:rsidR="00046EB1" w:rsidRPr="00046EB1" w:rsidRDefault="00046EB1" w:rsidP="00046EB1">
      <w:pPr>
        <w:numPr>
          <w:ilvl w:val="0"/>
          <w:numId w:val="7"/>
        </w:numPr>
        <w:spacing w:before="100" w:beforeAutospacing="1" w:after="100" w:afterAutospacing="1" w:line="240" w:lineRule="auto"/>
        <w:jc w:val="both"/>
        <w:rPr>
          <w:rFonts w:ascii="Arial" w:eastAsia="Times New Roman" w:hAnsi="Arial" w:cs="Arial"/>
          <w:sz w:val="24"/>
          <w:szCs w:val="24"/>
          <w:lang w:eastAsia="pl-PL"/>
        </w:rPr>
      </w:pPr>
      <w:hyperlink r:id="rId24" w:tooltip="Spółka cywilna" w:history="1">
        <w:r w:rsidRPr="00046EB1">
          <w:rPr>
            <w:rFonts w:ascii="Arial" w:eastAsia="Times New Roman" w:hAnsi="Arial" w:cs="Arial"/>
            <w:sz w:val="24"/>
            <w:szCs w:val="24"/>
            <w:lang w:eastAsia="pl-PL"/>
          </w:rPr>
          <w:t>spółki cywilne</w:t>
        </w:r>
      </w:hyperlink>
      <w:r w:rsidRPr="00046EB1">
        <w:rPr>
          <w:rFonts w:ascii="Arial" w:eastAsia="Times New Roman" w:hAnsi="Arial" w:cs="Arial"/>
          <w:sz w:val="24"/>
          <w:szCs w:val="24"/>
          <w:lang w:eastAsia="pl-PL"/>
        </w:rPr>
        <w:t>, w których wspólnikami są osoby fizyczne,</w:t>
      </w:r>
    </w:p>
    <w:p w:rsidR="00046EB1" w:rsidRPr="00046EB1" w:rsidRDefault="00046EB1" w:rsidP="00046EB1">
      <w:pPr>
        <w:numPr>
          <w:ilvl w:val="0"/>
          <w:numId w:val="7"/>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wiele innych form działalności, które zostały wymienione w ustawie (m.in. drobne działalności wytwórcze, usługowe, transportowe, gastronomiczne, wolne zawody).</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Cechy opodatkowania w formie karty podatkowej: </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ewidencji,</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obowiązku składania zeznań podatkowych (poza PIT-16A),</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brak zaliczek na podatek dochodowy, </w:t>
      </w:r>
      <w:hyperlink r:id="rId25" w:tooltip="Płatność" w:history="1">
        <w:r w:rsidRPr="00046EB1">
          <w:rPr>
            <w:rFonts w:ascii="Arial" w:eastAsia="Times New Roman" w:hAnsi="Arial" w:cs="Arial"/>
            <w:sz w:val="24"/>
            <w:szCs w:val="24"/>
            <w:lang w:eastAsia="pl-PL"/>
          </w:rPr>
          <w:t>płatność</w:t>
        </w:r>
      </w:hyperlink>
      <w:r w:rsidRPr="00046EB1">
        <w:rPr>
          <w:rFonts w:ascii="Arial" w:eastAsia="Times New Roman" w:hAnsi="Arial" w:cs="Arial"/>
          <w:sz w:val="24"/>
          <w:szCs w:val="24"/>
          <w:lang w:eastAsia="pl-PL"/>
        </w:rPr>
        <w:t xml:space="preserve"> podatku co miesiąc,</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podatnik uiszcza stała kwotę podatku ustaloną przez naczelnika urzędu skarbowego, niezależnie od wysokości osiąganych przychodów,</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możliwości uwzględnienia kosztów uzyskania przychodów,</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złożenie odpowiedniego oświadczenia o wyborze tej formy opodatkowania w urzędzie skarbowym,</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dopuszczalna wyłącznie dla tych przedsiębiorców, którzy prowadzą ściśle określony katalog rodzajów działalności gospodarczej,</w:t>
      </w:r>
    </w:p>
    <w:p w:rsidR="00046EB1" w:rsidRPr="00046EB1" w:rsidRDefault="00046EB1" w:rsidP="00046EB1">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brak możliwości korzystania z osobistych ulg podatkowych, jakie przysłu</w:t>
      </w:r>
      <w:r>
        <w:rPr>
          <w:rFonts w:ascii="Arial" w:eastAsia="Times New Roman" w:hAnsi="Arial" w:cs="Arial"/>
          <w:sz w:val="24"/>
          <w:szCs w:val="24"/>
          <w:lang w:eastAsia="pl-PL"/>
        </w:rPr>
        <w:t xml:space="preserve">giwałyby na zasadach ogólnych.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Obowiązki podatników korzystających z karty podatkowej: </w:t>
      </w:r>
    </w:p>
    <w:p w:rsidR="00046EB1" w:rsidRPr="00046EB1" w:rsidRDefault="00046EB1" w:rsidP="00046EB1">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wydawanie na żądanie klienta rachunków i </w:t>
      </w:r>
      <w:hyperlink r:id="rId26" w:tooltip="Faktura" w:history="1">
        <w:r w:rsidRPr="00046EB1">
          <w:rPr>
            <w:rFonts w:ascii="Arial" w:eastAsia="Times New Roman" w:hAnsi="Arial" w:cs="Arial"/>
            <w:sz w:val="24"/>
            <w:szCs w:val="24"/>
            <w:lang w:eastAsia="pl-PL"/>
          </w:rPr>
          <w:t>faktur</w:t>
        </w:r>
      </w:hyperlink>
      <w:r w:rsidRPr="00046EB1">
        <w:rPr>
          <w:rFonts w:ascii="Arial" w:eastAsia="Times New Roman" w:hAnsi="Arial" w:cs="Arial"/>
          <w:sz w:val="24"/>
          <w:szCs w:val="24"/>
          <w:lang w:eastAsia="pl-PL"/>
        </w:rPr>
        <w:t xml:space="preserve">, stwierdzających </w:t>
      </w:r>
      <w:hyperlink r:id="rId27" w:tooltip="Sprzedaż" w:history="1">
        <w:r w:rsidRPr="00046EB1">
          <w:rPr>
            <w:rFonts w:ascii="Arial" w:eastAsia="Times New Roman" w:hAnsi="Arial" w:cs="Arial"/>
            <w:sz w:val="24"/>
            <w:szCs w:val="24"/>
            <w:lang w:eastAsia="pl-PL"/>
          </w:rPr>
          <w:t>sprzedaż</w:t>
        </w:r>
      </w:hyperlink>
      <w:r w:rsidRPr="00046EB1">
        <w:rPr>
          <w:rFonts w:ascii="Arial" w:eastAsia="Times New Roman" w:hAnsi="Arial" w:cs="Arial"/>
          <w:sz w:val="24"/>
          <w:szCs w:val="24"/>
          <w:lang w:eastAsia="pl-PL"/>
        </w:rPr>
        <w:t xml:space="preserve"> wyrobu, </w:t>
      </w:r>
      <w:hyperlink r:id="rId28" w:tooltip="Towar" w:history="1">
        <w:r w:rsidRPr="00046EB1">
          <w:rPr>
            <w:rFonts w:ascii="Arial" w:eastAsia="Times New Roman" w:hAnsi="Arial" w:cs="Arial"/>
            <w:sz w:val="24"/>
            <w:szCs w:val="24"/>
            <w:lang w:eastAsia="pl-PL"/>
          </w:rPr>
          <w:t>towaru</w:t>
        </w:r>
      </w:hyperlink>
      <w:r w:rsidRPr="00046EB1">
        <w:rPr>
          <w:rFonts w:ascii="Arial" w:eastAsia="Times New Roman" w:hAnsi="Arial" w:cs="Arial"/>
          <w:sz w:val="24"/>
          <w:szCs w:val="24"/>
          <w:lang w:eastAsia="pl-PL"/>
        </w:rPr>
        <w:t xml:space="preserve"> lub wykonanie </w:t>
      </w:r>
      <w:hyperlink r:id="rId29" w:tooltip="Usługa" w:history="1">
        <w:r w:rsidRPr="00046EB1">
          <w:rPr>
            <w:rFonts w:ascii="Arial" w:eastAsia="Times New Roman" w:hAnsi="Arial" w:cs="Arial"/>
            <w:sz w:val="24"/>
            <w:szCs w:val="24"/>
            <w:lang w:eastAsia="pl-PL"/>
          </w:rPr>
          <w:t>usługi</w:t>
        </w:r>
      </w:hyperlink>
      <w:r w:rsidRPr="00046EB1">
        <w:rPr>
          <w:rFonts w:ascii="Arial" w:eastAsia="Times New Roman" w:hAnsi="Arial" w:cs="Arial"/>
          <w:sz w:val="24"/>
          <w:szCs w:val="24"/>
          <w:lang w:eastAsia="pl-PL"/>
        </w:rPr>
        <w:t>,</w:t>
      </w:r>
    </w:p>
    <w:p w:rsidR="00046EB1" w:rsidRPr="00046EB1" w:rsidRDefault="00046EB1" w:rsidP="00046EB1">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przechowywanie w kolejności numerów kopie tych rachunków i faktur w okresie pięciu </w:t>
      </w:r>
      <w:hyperlink r:id="rId30" w:tooltip="Rok podatkowy" w:history="1">
        <w:r w:rsidRPr="00046EB1">
          <w:rPr>
            <w:rFonts w:ascii="Arial" w:eastAsia="Times New Roman" w:hAnsi="Arial" w:cs="Arial"/>
            <w:sz w:val="24"/>
            <w:szCs w:val="24"/>
            <w:lang w:eastAsia="pl-PL"/>
          </w:rPr>
          <w:t>lat podatkowych</w:t>
        </w:r>
      </w:hyperlink>
      <w:r w:rsidRPr="00046EB1">
        <w:rPr>
          <w:rFonts w:ascii="Arial" w:eastAsia="Times New Roman" w:hAnsi="Arial" w:cs="Arial"/>
          <w:sz w:val="24"/>
          <w:szCs w:val="24"/>
          <w:lang w:eastAsia="pl-PL"/>
        </w:rPr>
        <w:t xml:space="preserve">, licząc od końca roku, w którym wystawiono </w:t>
      </w:r>
      <w:hyperlink r:id="rId31" w:tooltip="Rachunek" w:history="1">
        <w:r w:rsidRPr="00046EB1">
          <w:rPr>
            <w:rFonts w:ascii="Arial" w:eastAsia="Times New Roman" w:hAnsi="Arial" w:cs="Arial"/>
            <w:sz w:val="24"/>
            <w:szCs w:val="24"/>
            <w:lang w:eastAsia="pl-PL"/>
          </w:rPr>
          <w:t>rachunek</w:t>
        </w:r>
      </w:hyperlink>
      <w:r>
        <w:rPr>
          <w:rFonts w:ascii="Arial" w:eastAsia="Times New Roman" w:hAnsi="Arial" w:cs="Arial"/>
          <w:sz w:val="24"/>
          <w:szCs w:val="24"/>
          <w:lang w:eastAsia="pl-PL"/>
        </w:rPr>
        <w:t xml:space="preserve"> lub fakturę </w:t>
      </w:r>
      <w:r w:rsidRPr="00046EB1">
        <w:rPr>
          <w:rFonts w:ascii="Arial" w:eastAsia="Times New Roman" w:hAnsi="Arial" w:cs="Arial"/>
          <w:sz w:val="24"/>
          <w:szCs w:val="24"/>
          <w:lang w:eastAsia="pl-PL"/>
        </w:rPr>
        <w:t>Ustawa o zryczałtowanym podatku...1998, art. 24, pkt.1 ].</w:t>
      </w:r>
    </w:p>
    <w:p w:rsidR="00046EB1" w:rsidRPr="00046EB1" w:rsidRDefault="00046EB1" w:rsidP="00046EB1">
      <w:p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Wysokość podatku zależy od: </w:t>
      </w:r>
    </w:p>
    <w:p w:rsidR="00046EB1" w:rsidRPr="00046EB1" w:rsidRDefault="00046EB1" w:rsidP="00046EB1">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charakteru prowadzonej działalności gospodarczej,</w:t>
      </w:r>
    </w:p>
    <w:p w:rsidR="00046EB1" w:rsidRPr="00046EB1" w:rsidRDefault="00046EB1" w:rsidP="00046EB1">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wymiaru zatrudnienia,</w:t>
      </w:r>
    </w:p>
    <w:p w:rsidR="00046EB1" w:rsidRPr="00046EB1" w:rsidRDefault="00046EB1" w:rsidP="00046EB1">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46EB1">
        <w:rPr>
          <w:rFonts w:ascii="Arial" w:eastAsia="Times New Roman" w:hAnsi="Arial" w:cs="Arial"/>
          <w:sz w:val="24"/>
          <w:szCs w:val="24"/>
          <w:lang w:eastAsia="pl-PL"/>
        </w:rPr>
        <w:t xml:space="preserve">wielkości miejscowości, w której prowadzona jest </w:t>
      </w:r>
      <w:hyperlink r:id="rId32" w:tooltip="Działalność gospodarcza" w:history="1">
        <w:r w:rsidRPr="00046EB1">
          <w:rPr>
            <w:rFonts w:ascii="Arial" w:eastAsia="Times New Roman" w:hAnsi="Arial" w:cs="Arial"/>
            <w:sz w:val="24"/>
            <w:szCs w:val="24"/>
            <w:lang w:eastAsia="pl-PL"/>
          </w:rPr>
          <w:t>działalność gospodarcza</w:t>
        </w:r>
      </w:hyperlink>
      <w:r w:rsidRPr="00046EB1">
        <w:rPr>
          <w:rFonts w:ascii="Arial" w:eastAsia="Times New Roman" w:hAnsi="Arial" w:cs="Arial"/>
          <w:sz w:val="24"/>
          <w:szCs w:val="24"/>
          <w:lang w:eastAsia="pl-PL"/>
        </w:rPr>
        <w:t>.</w:t>
      </w:r>
    </w:p>
    <w:p w:rsidR="00046EB1" w:rsidRDefault="00046EB1" w:rsidP="00046EB1">
      <w:pPr>
        <w:jc w:val="both"/>
        <w:rPr>
          <w:rFonts w:ascii="Arial" w:hAnsi="Arial" w:cs="Arial"/>
          <w:sz w:val="24"/>
          <w:szCs w:val="24"/>
        </w:rPr>
      </w:pPr>
    </w:p>
    <w:p w:rsidR="001C666E" w:rsidRDefault="001C666E" w:rsidP="00046EB1">
      <w:pPr>
        <w:jc w:val="both"/>
        <w:rPr>
          <w:rFonts w:ascii="Arial" w:hAnsi="Arial" w:cs="Arial"/>
          <w:sz w:val="24"/>
          <w:szCs w:val="24"/>
        </w:rPr>
      </w:pPr>
    </w:p>
    <w:p w:rsidR="001C666E" w:rsidRDefault="001C666E" w:rsidP="00046EB1">
      <w:pPr>
        <w:jc w:val="both"/>
        <w:rPr>
          <w:rFonts w:ascii="Arial" w:hAnsi="Arial" w:cs="Arial"/>
          <w:sz w:val="24"/>
          <w:szCs w:val="24"/>
        </w:rPr>
      </w:pPr>
    </w:p>
    <w:p w:rsidR="001C666E" w:rsidRDefault="001C666E" w:rsidP="00046EB1">
      <w:pPr>
        <w:jc w:val="both"/>
        <w:rPr>
          <w:rFonts w:ascii="Arial" w:hAnsi="Arial" w:cs="Arial"/>
          <w:sz w:val="24"/>
          <w:szCs w:val="24"/>
        </w:rPr>
      </w:pPr>
    </w:p>
    <w:p w:rsidR="00046EB1" w:rsidRPr="001C666E" w:rsidRDefault="001C666E" w:rsidP="00046EB1">
      <w:pPr>
        <w:jc w:val="both"/>
        <w:rPr>
          <w:rFonts w:ascii="Arial" w:hAnsi="Arial" w:cs="Arial"/>
          <w:sz w:val="24"/>
          <w:szCs w:val="24"/>
          <w:u w:val="single"/>
        </w:rPr>
      </w:pPr>
      <w:r w:rsidRPr="001C666E">
        <w:rPr>
          <w:rFonts w:ascii="Arial" w:hAnsi="Arial" w:cs="Arial"/>
          <w:sz w:val="24"/>
          <w:szCs w:val="24"/>
          <w:u w:val="single"/>
        </w:rPr>
        <w:lastRenderedPageBreak/>
        <w:t>EWIDENCJA ŚRODKÓW TRWAŁYCH, REJESTRY VAT</w:t>
      </w:r>
    </w:p>
    <w:p w:rsidR="00046EB1"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Ewidencja środków trwałych obejmuje rzeczowe składniki majątku związane z wykonywaną działalnością. Przedsiębiorca, który prowadzi podatkową księgę przychodów i rozchodów i wykorzystuje w działalności gospodarczej środki trwałe, jest zobowiązany do jej prowadzenia. Przeczytaj artykuł i dowiedz się więcej.</w:t>
      </w:r>
    </w:p>
    <w:p w:rsidR="00046EB1" w:rsidRPr="001C666E" w:rsidRDefault="00046EB1" w:rsidP="00046EB1">
      <w:pPr>
        <w:jc w:val="both"/>
        <w:rPr>
          <w:rFonts w:ascii="Arial" w:hAnsi="Arial" w:cs="Arial"/>
          <w:sz w:val="24"/>
          <w:szCs w:val="24"/>
        </w:rPr>
      </w:pPr>
      <w:r w:rsidRPr="001C666E">
        <w:rPr>
          <w:rFonts w:ascii="Arial" w:hAnsi="Arial" w:cs="Arial"/>
          <w:sz w:val="24"/>
          <w:szCs w:val="24"/>
        </w:rPr>
        <w:t>Ewidencja środków trwałych - obowiązek jej prowadzenia</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Obowiązek prowadzenia ewidencji środków trwałych określają przepisy rozporządzenia Ministra Finansów z 23 grudnia 2019 roku w sprawie prowadzenia podatkowej księgi przychodów i rozchodów. Zgodnie z treścią par. 5 niniejszego rozporządzenia osoby fizyczne, przedsiębiorstwa w spadku, spółki cywilne osób fizycznych, spółki jawne osób fizycznych oraz spółki partnerskie, wykonujące działalność gospodarczą, obowiązane do prowadzenia księgi przychodów i rozchodów mają obowiązek prowadzenia ewidencji środków trwałych oraz wartości niematerialnych i prawnych - zgodnie z art. 22n ust. 2-6 ustawy o PIT.</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Obowiązek ten dotyczy zarówno podmiotów gospodarczych rozliczających się na podstawie podatkowej księgi przychodów i rozchodów, jak i ryczałtowców.</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Ewidencja środków trwałych i jej prowadzenie jest niezbędne do zaliczania amortyzacji w koszty działalności. Zgodnie bowiem z art. 22n ust. 6 ustawy o PIT w razie braku ewidencji środków trwałych oraz wartości niematerialnych i prawnych dokonywane odpisy amortyzacyjne nie stanowią kosztów uzyskania przychodów.</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Definicja środka trwałego</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 xml:space="preserve">Zgodnie z przepisami ustawy o PIT środkami trwałymi są stanowiące własność lub współwłasność podatnika, nabyte lub wytworzone we własnym zakresie, kompletne i zdatne do użytku w dniu przyjęcia do używania: </w:t>
      </w:r>
    </w:p>
    <w:p w:rsidR="001C666E" w:rsidRDefault="00046EB1" w:rsidP="00046EB1">
      <w:pPr>
        <w:pStyle w:val="Akapitzlist"/>
        <w:numPr>
          <w:ilvl w:val="0"/>
          <w:numId w:val="11"/>
        </w:numPr>
        <w:jc w:val="both"/>
        <w:rPr>
          <w:rFonts w:ascii="Arial" w:hAnsi="Arial" w:cs="Arial"/>
          <w:sz w:val="24"/>
          <w:szCs w:val="24"/>
        </w:rPr>
      </w:pPr>
      <w:r w:rsidRPr="001C666E">
        <w:rPr>
          <w:rFonts w:ascii="Arial" w:hAnsi="Arial" w:cs="Arial"/>
          <w:sz w:val="24"/>
          <w:szCs w:val="24"/>
        </w:rPr>
        <w:t>budowle,</w:t>
      </w:r>
    </w:p>
    <w:p w:rsidR="001C666E" w:rsidRDefault="00046EB1" w:rsidP="00046EB1">
      <w:pPr>
        <w:pStyle w:val="Akapitzlist"/>
        <w:numPr>
          <w:ilvl w:val="0"/>
          <w:numId w:val="11"/>
        </w:numPr>
        <w:jc w:val="both"/>
        <w:rPr>
          <w:rFonts w:ascii="Arial" w:hAnsi="Arial" w:cs="Arial"/>
          <w:sz w:val="24"/>
          <w:szCs w:val="24"/>
        </w:rPr>
      </w:pPr>
      <w:r w:rsidRPr="001C666E">
        <w:rPr>
          <w:rFonts w:ascii="Arial" w:hAnsi="Arial" w:cs="Arial"/>
          <w:sz w:val="24"/>
          <w:szCs w:val="24"/>
        </w:rPr>
        <w:t>budynki oraz lokale będące odrębną własnością,</w:t>
      </w:r>
    </w:p>
    <w:p w:rsidR="00046EB1" w:rsidRPr="001C666E" w:rsidRDefault="00046EB1" w:rsidP="00046EB1">
      <w:pPr>
        <w:pStyle w:val="Akapitzlist"/>
        <w:numPr>
          <w:ilvl w:val="0"/>
          <w:numId w:val="11"/>
        </w:numPr>
        <w:jc w:val="both"/>
        <w:rPr>
          <w:rFonts w:ascii="Arial" w:hAnsi="Arial" w:cs="Arial"/>
          <w:sz w:val="24"/>
          <w:szCs w:val="24"/>
        </w:rPr>
      </w:pPr>
      <w:r w:rsidRPr="001C666E">
        <w:rPr>
          <w:rFonts w:ascii="Arial" w:hAnsi="Arial" w:cs="Arial"/>
          <w:sz w:val="24"/>
          <w:szCs w:val="24"/>
        </w:rPr>
        <w:t>maszyny, urządzenia, środki transportu oraz inne przedmioty.</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Ponadto przewidywany okres ich używania powinien być dłuższym niż rok. Muszą być także wykorzystywane przez podatnika na potrzeby związane z prowadzoną przez niego działalnością gospodarczą albo oddane do używania na podstawie umowy najmu, dzierżawy lub umowy określonej w art. 23a pkt 1 ustawy o PIT.</w:t>
      </w:r>
    </w:p>
    <w:p w:rsidR="00046EB1" w:rsidRPr="001C666E" w:rsidRDefault="00046EB1" w:rsidP="00046EB1">
      <w:pPr>
        <w:jc w:val="both"/>
        <w:rPr>
          <w:rFonts w:ascii="Arial" w:hAnsi="Arial" w:cs="Arial"/>
          <w:sz w:val="24"/>
          <w:szCs w:val="24"/>
        </w:rPr>
      </w:pPr>
      <w:r w:rsidRPr="001C666E">
        <w:rPr>
          <w:rFonts w:ascii="Arial" w:hAnsi="Arial" w:cs="Arial"/>
          <w:sz w:val="24"/>
          <w:szCs w:val="24"/>
        </w:rPr>
        <w:lastRenderedPageBreak/>
        <w:t>Ewidencja środków trwałych - elementy</w:t>
      </w:r>
    </w:p>
    <w:p w:rsidR="00046EB1" w:rsidRPr="001C666E" w:rsidRDefault="00046EB1" w:rsidP="00046EB1">
      <w:pPr>
        <w:jc w:val="both"/>
        <w:rPr>
          <w:rFonts w:ascii="Arial" w:hAnsi="Arial" w:cs="Arial"/>
          <w:sz w:val="24"/>
          <w:szCs w:val="24"/>
        </w:rPr>
      </w:pPr>
    </w:p>
    <w:p w:rsidR="001C666E" w:rsidRDefault="00046EB1" w:rsidP="00046EB1">
      <w:pPr>
        <w:jc w:val="both"/>
        <w:rPr>
          <w:rFonts w:ascii="Arial" w:hAnsi="Arial" w:cs="Arial"/>
          <w:sz w:val="24"/>
          <w:szCs w:val="24"/>
        </w:rPr>
      </w:pPr>
      <w:r w:rsidRPr="001C666E">
        <w:rPr>
          <w:rFonts w:ascii="Arial" w:hAnsi="Arial" w:cs="Arial"/>
          <w:sz w:val="24"/>
          <w:szCs w:val="24"/>
        </w:rPr>
        <w:t>Ewidencja środków trwałych nie ma określonego wzoru, co oznacza, że tę rolę może pełnić nawet odręcznie prowadzony dokument, pod warunkiem jednak, że będzie zawierać co n</w:t>
      </w:r>
      <w:r w:rsidR="001C666E">
        <w:rPr>
          <w:rFonts w:ascii="Arial" w:hAnsi="Arial" w:cs="Arial"/>
          <w:sz w:val="24"/>
          <w:szCs w:val="24"/>
        </w:rPr>
        <w:t>ajmniej następujące informacje:</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liczbę porządkową,</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datę nabycia,</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datę przyjęcia do używania,</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określenie dokumentu stwierdzającego nabycie,</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określenie środka trwałego lub wartości niematerialnej i prawnej,</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symbol Klasyfikacji Środków Trwałych,</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wartość początkową,</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stawkę amortyzacyjną,</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kwotę odpisu amortyzacyjnego za dany rok podatkowy i narastająco za okres dokonywania tych odpisów, w tym także, gdy składnik majątku był kiedykolwiek wprowadzony do ewidencji (wykazu), a następnie z niej wykreślony i ponownie wprowadzony,</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zaktualizowaną wartość początkową,</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zaktualizowaną kwotę odpisów amortyzacyjnych,</w:t>
      </w:r>
    </w:p>
    <w:p w:rsid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wartość ulepszenia zwiększającą wartość początkową,</w:t>
      </w:r>
    </w:p>
    <w:p w:rsidR="00046EB1" w:rsidRPr="001C666E" w:rsidRDefault="00046EB1" w:rsidP="00046EB1">
      <w:pPr>
        <w:pStyle w:val="Akapitzlist"/>
        <w:numPr>
          <w:ilvl w:val="0"/>
          <w:numId w:val="12"/>
        </w:numPr>
        <w:jc w:val="both"/>
        <w:rPr>
          <w:rFonts w:ascii="Arial" w:hAnsi="Arial" w:cs="Arial"/>
          <w:sz w:val="24"/>
          <w:szCs w:val="24"/>
        </w:rPr>
      </w:pPr>
      <w:r w:rsidRPr="001C666E">
        <w:rPr>
          <w:rFonts w:ascii="Arial" w:hAnsi="Arial" w:cs="Arial"/>
          <w:sz w:val="24"/>
          <w:szCs w:val="24"/>
        </w:rPr>
        <w:t>datę likwidacji oraz jej przyczynę albo datę zbycia.</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Wartość początkowa środka trwałego a ewidencja środków trwałych</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Aby zakupiony składnik majątku wprowadzić do ewidencji środków trwałych oraz poddać amortyzacji, konieczne jest ustalenie jego wartości początkowej.</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Wartość początkowa to nic innego jak cena zakupu powiększona o koszty uzyskania danego środka. Chodzi tu o koszty transportu, załadunku i wyładunku, ubezpieczenia w drodze, montażu, instalacji i uruchomienia, opłat notarialnych, skarbowych i innych, odsetek oraz prowizji, pomniejszone o należny podatek od towarów i usług (VAT niepodlegający odliczeniu zwiększa wartość początkową środka trwałego). W przypadku importu cena nabycia zawiera cło i podatek akcyzowy od przywozu składników majątku.</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 xml:space="preserve">Jeżeli środek trwały został wytworzony we własnym zakresie, za wartość początkową uważa się sumę wszystkich kosztów poniesionych podczas jego wytwarzania, tj. wynagrodzenie za pracę pracowników, koszty nabycia składników, koszty skorzystania z usług obcych i inne koszty dające się zaliczyć do wartości wytworzonych środków trwałych. Nie wlicza się do nich wartości własnej pracy </w:t>
      </w:r>
      <w:r w:rsidRPr="001C666E">
        <w:rPr>
          <w:rFonts w:ascii="Arial" w:hAnsi="Arial" w:cs="Arial"/>
          <w:sz w:val="24"/>
          <w:szCs w:val="24"/>
        </w:rPr>
        <w:lastRenderedPageBreak/>
        <w:t>przedsiębiorcy, jego współmałżonka i nastoletnich dzieci oraz wydatków ogólnych zarządu.</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Przedsiębiorca może również nabyć środek trwały w drodze spadku, darowizny lub inny nieodpłatny sposób. Najczęściej w takim wypadku nie jest możliwe określenie wartości początkowej takiego środka trwałego. W związku z tym ustawodawca daje możliwość wyceny na drodze porównania podobnych aktywów według wartości rynkowej, a jeżeli i taki sposób nie jest możliwy, pozostaje zwrócić się o pomoc do biegłego rzeczoznawcy.</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Wpis do ewidencji środków trwałych</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Zapisów dotyczących środków trwałych oraz wartości niematerialnych i prawnych dokonuje się w ewidencji najpóźniej w miesiącu, w którym zostały przekazane do użytkowania.</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Warto zauważyć, że data nabycia nie musi być równoznaczna z datą przyjęcia do używania środka trwałego. Dniem nabycia jest zazwyczaj data figurująca na fakturze, rachunku albo umowie przenoszącej prawo do środka trwałego na podatnika. Może się zdarzyć, że składnik majątku w dniu nabycia nie nadawał się do używania, ponieważ np. nie był sprawny i wymagał naprawy, wówczas te dwie daty nie będą ze sobą tożsame. Należy w takiej sytuacji pamiętać, że to data przyjęcia do używania decyduje o terminie, od którego rozpocznie się amortyzacja.</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Ewidencja środków trwałych zawiera wpisy dokonywane na podstawie dokumentów, z których wynika wartość początkowa zewidencjonowanych składników majątku.</w:t>
      </w:r>
    </w:p>
    <w:p w:rsidR="00046EB1" w:rsidRPr="001C666E" w:rsidRDefault="00046EB1" w:rsidP="00046EB1">
      <w:pPr>
        <w:jc w:val="both"/>
        <w:rPr>
          <w:rFonts w:ascii="Arial" w:hAnsi="Arial" w:cs="Arial"/>
          <w:sz w:val="24"/>
          <w:szCs w:val="24"/>
        </w:rPr>
      </w:pPr>
      <w:r w:rsidRPr="001C666E">
        <w:rPr>
          <w:rFonts w:ascii="Arial" w:hAnsi="Arial" w:cs="Arial"/>
          <w:sz w:val="24"/>
          <w:szCs w:val="24"/>
        </w:rPr>
        <w:t>Korekta danych w ewidencji środków trwałych</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Przepisy nie określają zasad poprawiania wpisów w ewidencji środków trwałych oraz wartości niematerialnych i prawnych, jednak można uznać, iż dopuszczalne będzie skreślenie dotychczasowej treści i wpisanie nowej (z zachowaniem czytelności błędnego zapisu) oraz podpisanie poprawki i umieszczenie daty jej dokonania.</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Ulepszenie środka trwałego</w:t>
      </w:r>
    </w:p>
    <w:p w:rsidR="00046EB1" w:rsidRPr="001C666E" w:rsidRDefault="00046EB1" w:rsidP="00046EB1">
      <w:pPr>
        <w:jc w:val="both"/>
        <w:rPr>
          <w:rFonts w:ascii="Arial" w:hAnsi="Arial" w:cs="Arial"/>
          <w:sz w:val="24"/>
          <w:szCs w:val="24"/>
        </w:rPr>
      </w:pPr>
    </w:p>
    <w:p w:rsidR="00046EB1" w:rsidRPr="001C666E" w:rsidRDefault="00046EB1" w:rsidP="00046EB1">
      <w:pPr>
        <w:jc w:val="both"/>
        <w:rPr>
          <w:rFonts w:ascii="Arial" w:hAnsi="Arial" w:cs="Arial"/>
          <w:sz w:val="24"/>
          <w:szCs w:val="24"/>
        </w:rPr>
      </w:pPr>
      <w:r w:rsidRPr="001C666E">
        <w:rPr>
          <w:rFonts w:ascii="Arial" w:hAnsi="Arial" w:cs="Arial"/>
          <w:sz w:val="24"/>
          <w:szCs w:val="24"/>
        </w:rPr>
        <w:t xml:space="preserve">W przypadku ulepszenia środka trwałego jego wartość początkową powiększa się o sumę kosztów poniesionych na jego ulepszenie, w tym także na kupno elementów </w:t>
      </w:r>
      <w:r w:rsidRPr="001C666E">
        <w:rPr>
          <w:rFonts w:ascii="Arial" w:hAnsi="Arial" w:cs="Arial"/>
          <w:sz w:val="24"/>
          <w:szCs w:val="24"/>
        </w:rPr>
        <w:lastRenderedPageBreak/>
        <w:t>składowych lub peryferyjnych, których jednostkowa cena nabycia przekracza 10.000 zł. Środki trwałe uważa się za udoskonalone (ulepszone), gdy suma kosztów poniesionych na ich udoskonalenie (rozbudowę, rekonstrukcję lub adaptację) w danym roku podatkowym przekracza 10.000 zł. Należy również pamiętać, że wydatki te muszą powodować wzrost wartości użytkowej w stosunku do wartości z dnia przyjęcia środków trwałych do używania. Zmiany wartości w ewidencji dokonuje się od miesiąca następującego po miesiącu, w którym ulepszenie zostało wykonane.</w:t>
      </w:r>
    </w:p>
    <w:p w:rsidR="00046EB1" w:rsidRPr="001C666E" w:rsidRDefault="00046EB1" w:rsidP="00046EB1">
      <w:pPr>
        <w:jc w:val="both"/>
        <w:rPr>
          <w:rFonts w:ascii="Arial" w:hAnsi="Arial" w:cs="Arial"/>
          <w:sz w:val="24"/>
          <w:szCs w:val="24"/>
        </w:rPr>
      </w:pPr>
      <w:r w:rsidRPr="001C666E">
        <w:rPr>
          <w:rFonts w:ascii="Arial" w:hAnsi="Arial" w:cs="Arial"/>
          <w:sz w:val="24"/>
          <w:szCs w:val="24"/>
        </w:rPr>
        <w:t>Trwałe odłączenie częś</w:t>
      </w:r>
      <w:r w:rsidR="001C666E">
        <w:rPr>
          <w:rFonts w:ascii="Arial" w:hAnsi="Arial" w:cs="Arial"/>
          <w:sz w:val="24"/>
          <w:szCs w:val="24"/>
        </w:rPr>
        <w:t>ci składowej od środka trwałego</w:t>
      </w:r>
    </w:p>
    <w:p w:rsidR="00046EB1" w:rsidRPr="001C666E" w:rsidRDefault="00046EB1" w:rsidP="00046EB1">
      <w:pPr>
        <w:jc w:val="both"/>
        <w:rPr>
          <w:rFonts w:ascii="Arial" w:hAnsi="Arial" w:cs="Arial"/>
          <w:sz w:val="24"/>
          <w:szCs w:val="24"/>
        </w:rPr>
      </w:pPr>
      <w:r w:rsidRPr="001C666E">
        <w:rPr>
          <w:rFonts w:ascii="Arial" w:hAnsi="Arial" w:cs="Arial"/>
          <w:sz w:val="24"/>
          <w:szCs w:val="24"/>
        </w:rPr>
        <w:t>W razie trwałego oddzielenia od danego środka trwałego elementu składowego lub części peryferyjnej, wartość początkową tego środka zmniejsza się o różnicę między ceną nabycia oddzielonego składnika a przypadającą na nią, w okresie dotychczasowym, sumą odpisów amortyzacyjnych. Amortyzacji, według nowej wartości początkowej, dokonuje się od następnego miesiąca po odłączeniu. Trwałe odłączenie będzie zawsze wtedy, gdy odłączona część składała się na konstrukcję środka trwałego bądź służyła jako element niezbędny do możliwości pełnego korzystania z danego urządzenia.</w:t>
      </w:r>
    </w:p>
    <w:p w:rsidR="00046EB1" w:rsidRPr="001C666E" w:rsidRDefault="00046EB1" w:rsidP="00046EB1">
      <w:pPr>
        <w:jc w:val="both"/>
        <w:rPr>
          <w:rFonts w:ascii="Arial" w:hAnsi="Arial" w:cs="Arial"/>
          <w:sz w:val="24"/>
          <w:szCs w:val="24"/>
        </w:rPr>
      </w:pPr>
      <w:r w:rsidRPr="001C666E">
        <w:rPr>
          <w:rFonts w:ascii="Arial" w:hAnsi="Arial" w:cs="Arial"/>
          <w:sz w:val="24"/>
          <w:szCs w:val="24"/>
        </w:rPr>
        <w:t>Ś</w:t>
      </w:r>
      <w:r w:rsidR="001C666E">
        <w:rPr>
          <w:rFonts w:ascii="Arial" w:hAnsi="Arial" w:cs="Arial"/>
          <w:sz w:val="24"/>
          <w:szCs w:val="24"/>
        </w:rPr>
        <w:t>rodki trwałe o niskiej wartości</w:t>
      </w:r>
    </w:p>
    <w:p w:rsidR="00046EB1" w:rsidRPr="001C666E" w:rsidRDefault="00046EB1" w:rsidP="00046EB1">
      <w:pPr>
        <w:jc w:val="both"/>
        <w:rPr>
          <w:rFonts w:ascii="Arial" w:hAnsi="Arial" w:cs="Arial"/>
          <w:sz w:val="24"/>
          <w:szCs w:val="24"/>
        </w:rPr>
      </w:pPr>
      <w:r w:rsidRPr="001C666E">
        <w:rPr>
          <w:rFonts w:ascii="Arial" w:hAnsi="Arial" w:cs="Arial"/>
          <w:sz w:val="24"/>
          <w:szCs w:val="24"/>
        </w:rPr>
        <w:t>W przypadku pozyskania środka trwałego o niskiej wartości, tj. nieprzekraczającej ustawowych 10.000 zł.</w:t>
      </w:r>
      <w:r w:rsidR="001C666E">
        <w:rPr>
          <w:rFonts w:ascii="Arial" w:hAnsi="Arial" w:cs="Arial"/>
          <w:sz w:val="24"/>
          <w:szCs w:val="24"/>
        </w:rPr>
        <w:t xml:space="preserve"> </w:t>
      </w:r>
      <w:r w:rsidRPr="001C666E">
        <w:rPr>
          <w:rFonts w:ascii="Arial" w:hAnsi="Arial" w:cs="Arial"/>
          <w:sz w:val="24"/>
          <w:szCs w:val="24"/>
        </w:rPr>
        <w:t xml:space="preserve">netto (w przypadku </w:t>
      </w:r>
      <w:proofErr w:type="spellStart"/>
      <w:r w:rsidRPr="001C666E">
        <w:rPr>
          <w:rFonts w:ascii="Arial" w:hAnsi="Arial" w:cs="Arial"/>
          <w:sz w:val="24"/>
          <w:szCs w:val="24"/>
        </w:rPr>
        <w:t>vatowców</w:t>
      </w:r>
      <w:proofErr w:type="spellEnd"/>
      <w:r w:rsidRPr="001C666E">
        <w:rPr>
          <w:rFonts w:ascii="Arial" w:hAnsi="Arial" w:cs="Arial"/>
          <w:sz w:val="24"/>
          <w:szCs w:val="24"/>
        </w:rPr>
        <w:t>) lub brutto (w przypadku podatników zwolnionych z VAT), przepisy podatkowe pozwalają na bezpośrednie zaliczanie ich w koszty. Podatnik nie musi ujmować ich w ewidencji środków trwałych.</w:t>
      </w:r>
    </w:p>
    <w:p w:rsidR="00046EB1" w:rsidRPr="00046EB1" w:rsidRDefault="00046EB1" w:rsidP="00046EB1">
      <w:pPr>
        <w:jc w:val="both"/>
        <w:rPr>
          <w:rFonts w:ascii="Arial" w:hAnsi="Arial" w:cs="Arial"/>
          <w:sz w:val="24"/>
          <w:szCs w:val="24"/>
        </w:rPr>
      </w:pPr>
    </w:p>
    <w:p w:rsidR="00046EB1" w:rsidRPr="00046EB1" w:rsidRDefault="00046EB1" w:rsidP="00046EB1">
      <w:pPr>
        <w:jc w:val="both"/>
        <w:rPr>
          <w:rFonts w:ascii="Arial" w:hAnsi="Arial" w:cs="Arial"/>
          <w:sz w:val="24"/>
          <w:szCs w:val="24"/>
        </w:rPr>
      </w:pPr>
      <w:bookmarkStart w:id="0" w:name="_GoBack"/>
      <w:bookmarkEnd w:id="0"/>
    </w:p>
    <w:sectPr w:rsidR="00046EB1" w:rsidRPr="00046E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234D6F"/>
    <w:multiLevelType w:val="hybridMultilevel"/>
    <w:tmpl w:val="D0749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B017886"/>
    <w:multiLevelType w:val="multilevel"/>
    <w:tmpl w:val="051E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4650A"/>
    <w:multiLevelType w:val="multilevel"/>
    <w:tmpl w:val="F8B0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F3C38"/>
    <w:multiLevelType w:val="multilevel"/>
    <w:tmpl w:val="EEC2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00A46"/>
    <w:multiLevelType w:val="multilevel"/>
    <w:tmpl w:val="8F68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894C52"/>
    <w:multiLevelType w:val="multilevel"/>
    <w:tmpl w:val="4100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077973"/>
    <w:multiLevelType w:val="multilevel"/>
    <w:tmpl w:val="0E5A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443C00"/>
    <w:multiLevelType w:val="hybridMultilevel"/>
    <w:tmpl w:val="329CF8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C51649D"/>
    <w:multiLevelType w:val="multilevel"/>
    <w:tmpl w:val="419C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596DD4"/>
    <w:multiLevelType w:val="multilevel"/>
    <w:tmpl w:val="5126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C2641D"/>
    <w:multiLevelType w:val="multilevel"/>
    <w:tmpl w:val="F7E6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E010B8"/>
    <w:multiLevelType w:val="multilevel"/>
    <w:tmpl w:val="3626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8"/>
  </w:num>
  <w:num w:numId="4">
    <w:abstractNumId w:val="2"/>
  </w:num>
  <w:num w:numId="5">
    <w:abstractNumId w:val="5"/>
  </w:num>
  <w:num w:numId="6">
    <w:abstractNumId w:val="11"/>
  </w:num>
  <w:num w:numId="7">
    <w:abstractNumId w:val="4"/>
  </w:num>
  <w:num w:numId="8">
    <w:abstractNumId w:val="6"/>
  </w:num>
  <w:num w:numId="9">
    <w:abstractNumId w:val="3"/>
  </w:num>
  <w:num w:numId="10">
    <w:abstractNumId w:val="10"/>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EB1"/>
    <w:rsid w:val="00046EB1"/>
    <w:rsid w:val="001C666E"/>
    <w:rsid w:val="002831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BEA80-9A4E-4B10-BEA3-9065FE0C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46EB1"/>
    <w:rPr>
      <w:color w:val="0563C1" w:themeColor="hyperlink"/>
      <w:u w:val="single"/>
    </w:rPr>
  </w:style>
  <w:style w:type="paragraph" w:styleId="Akapitzlist">
    <w:name w:val="List Paragraph"/>
    <w:basedOn w:val="Normalny"/>
    <w:uiPriority w:val="34"/>
    <w:qFormat/>
    <w:rsid w:val="001C66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353993">
      <w:bodyDiv w:val="1"/>
      <w:marLeft w:val="0"/>
      <w:marRight w:val="0"/>
      <w:marTop w:val="0"/>
      <w:marBottom w:val="0"/>
      <w:divBdr>
        <w:top w:val="none" w:sz="0" w:space="0" w:color="auto"/>
        <w:left w:val="none" w:sz="0" w:space="0" w:color="auto"/>
        <w:bottom w:val="none" w:sz="0" w:space="0" w:color="auto"/>
        <w:right w:val="none" w:sz="0" w:space="0" w:color="auto"/>
      </w:divBdr>
    </w:div>
    <w:div w:id="20363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files.pl/pl/index.php/Podatnik" TargetMode="External"/><Relationship Id="rId18" Type="http://schemas.openxmlformats.org/officeDocument/2006/relationships/hyperlink" Target="https://mfiles.pl/pl/index.php/Podatek_dochodowy" TargetMode="External"/><Relationship Id="rId26" Type="http://schemas.openxmlformats.org/officeDocument/2006/relationships/hyperlink" Target="https://mfiles.pl/pl/index.php/Faktura" TargetMode="External"/><Relationship Id="rId3" Type="http://schemas.openxmlformats.org/officeDocument/2006/relationships/styles" Target="styles.xml"/><Relationship Id="rId21" Type="http://schemas.openxmlformats.org/officeDocument/2006/relationships/hyperlink" Target="https://mfiles.pl/pl/index.php/Przychody" TargetMode="External"/><Relationship Id="rId34" Type="http://schemas.openxmlformats.org/officeDocument/2006/relationships/theme" Target="theme/theme1.xml"/><Relationship Id="rId7" Type="http://schemas.openxmlformats.org/officeDocument/2006/relationships/hyperlink" Target="https://mfiles.pl/pl/index.php/Podstawa_opodatkowania" TargetMode="External"/><Relationship Id="rId12" Type="http://schemas.openxmlformats.org/officeDocument/2006/relationships/hyperlink" Target="https://mfiles.pl/pl/index.php/Karta_podatkowa" TargetMode="External"/><Relationship Id="rId17" Type="http://schemas.openxmlformats.org/officeDocument/2006/relationships/hyperlink" Target="https://mfiles.pl/pl/index.php/Obowi%C4%85zek" TargetMode="External"/><Relationship Id="rId25" Type="http://schemas.openxmlformats.org/officeDocument/2006/relationships/hyperlink" Target="https://mfiles.pl/pl/index.php/P%C5%82atno%C5%9B%C4%8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files.pl/pl/index.php/Doch%C3%B3d" TargetMode="External"/><Relationship Id="rId20" Type="http://schemas.openxmlformats.org/officeDocument/2006/relationships/hyperlink" Target="http://isap.sejm.gov.pl/DetailsServlet?id=WDU19981440930" TargetMode="External"/><Relationship Id="rId29" Type="http://schemas.openxmlformats.org/officeDocument/2006/relationships/hyperlink" Target="https://mfiles.pl/pl/index.php/Us%C5%82uga" TargetMode="External"/><Relationship Id="rId1" Type="http://schemas.openxmlformats.org/officeDocument/2006/relationships/customXml" Target="../customXml/item1.xml"/><Relationship Id="rId6" Type="http://schemas.openxmlformats.org/officeDocument/2006/relationships/hyperlink" Target="https://mfiles.pl/pl/index.php/Osoba_fizyczna" TargetMode="External"/><Relationship Id="rId11" Type="http://schemas.openxmlformats.org/officeDocument/2006/relationships/hyperlink" Target="https://mfiles.pl/pl/index.php/Rycza%C5%82t_od_przychod%C3%B3w_ewidencjonowanych" TargetMode="External"/><Relationship Id="rId24" Type="http://schemas.openxmlformats.org/officeDocument/2006/relationships/hyperlink" Target="https://mfiles.pl/pl/index.php/Sp%C3%B3%C5%82ka_cywilna" TargetMode="External"/><Relationship Id="rId32" Type="http://schemas.openxmlformats.org/officeDocument/2006/relationships/hyperlink" Target="https://mfiles.pl/pl/index.php/Dzia%C5%82alno%C5%9B%C4%87_gospodarcza" TargetMode="External"/><Relationship Id="rId5" Type="http://schemas.openxmlformats.org/officeDocument/2006/relationships/webSettings" Target="webSettings.xml"/><Relationship Id="rId15" Type="http://schemas.openxmlformats.org/officeDocument/2006/relationships/hyperlink" Target="http://www.wneiz.pl/nauka_wneiz/frfu/68-2014/FRFU-68-25.pdf" TargetMode="External"/><Relationship Id="rId23" Type="http://schemas.openxmlformats.org/officeDocument/2006/relationships/hyperlink" Target="http://isap.sejm.gov.pl/DetailsServlet?id=WDU19981440930" TargetMode="External"/><Relationship Id="rId28" Type="http://schemas.openxmlformats.org/officeDocument/2006/relationships/hyperlink" Target="https://mfiles.pl/pl/index.php/Towar" TargetMode="External"/><Relationship Id="rId10" Type="http://schemas.openxmlformats.org/officeDocument/2006/relationships/hyperlink" Target="https://mfiles.pl/pl/index.php/Podatek" TargetMode="External"/><Relationship Id="rId19" Type="http://schemas.openxmlformats.org/officeDocument/2006/relationships/hyperlink" Target="https://mfiles.pl/pl/index.php/Opcja" TargetMode="External"/><Relationship Id="rId31" Type="http://schemas.openxmlformats.org/officeDocument/2006/relationships/hyperlink" Target="https://mfiles.pl/pl/index.php/Rachunek" TargetMode="External"/><Relationship Id="rId4" Type="http://schemas.openxmlformats.org/officeDocument/2006/relationships/settings" Target="settings.xml"/><Relationship Id="rId9" Type="http://schemas.openxmlformats.org/officeDocument/2006/relationships/hyperlink" Target="https://mfiles.pl/pl/index.php/Dzia%C5%82alno%C5%9B%C4%87_gospodarcza" TargetMode="External"/><Relationship Id="rId14" Type="http://schemas.openxmlformats.org/officeDocument/2006/relationships/hyperlink" Target="https://mfiles.pl/pl/index.php/Doch%C3%B3d_netto" TargetMode="External"/><Relationship Id="rId22" Type="http://schemas.openxmlformats.org/officeDocument/2006/relationships/hyperlink" Target="https://mfiles.pl/pl/index.php/Towar%C3%B3w" TargetMode="External"/><Relationship Id="rId27" Type="http://schemas.openxmlformats.org/officeDocument/2006/relationships/hyperlink" Target="https://mfiles.pl/pl/index.php/Sprzeda%C5%BC" TargetMode="External"/><Relationship Id="rId30" Type="http://schemas.openxmlformats.org/officeDocument/2006/relationships/hyperlink" Target="https://mfiles.pl/pl/index.php/Rok_podatkowy" TargetMode="External"/><Relationship Id="rId8" Type="http://schemas.openxmlformats.org/officeDocument/2006/relationships/hyperlink" Target="https://mfiles.pl/pl/index.php/Doch%C3%B3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4F12D-10E7-44E7-B592-65B982D3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2235</Words>
  <Characters>13412</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2021-01-24T09:12:00Z</dcterms:created>
  <dcterms:modified xsi:type="dcterms:W3CDTF">2021-01-24T09:26:00Z</dcterms:modified>
</cp:coreProperties>
</file>